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BBD36" w14:textId="7F48FE68" w:rsidR="006C046E" w:rsidRPr="001E44B4" w:rsidRDefault="006C046E" w:rsidP="006C046E">
      <w:pPr>
        <w:pStyle w:val="3GPPHeader"/>
        <w:spacing w:after="60"/>
        <w:rPr>
          <w:rFonts w:cs="Arial"/>
          <w:sz w:val="32"/>
          <w:szCs w:val="32"/>
          <w:highlight w:val="yellow"/>
          <w:lang w:val="en-US"/>
        </w:rPr>
      </w:pPr>
      <w:bookmarkStart w:id="0" w:name="_Hlk512852793"/>
      <w:bookmarkStart w:id="1" w:name="_GoBack"/>
      <w:bookmarkEnd w:id="1"/>
      <w:r w:rsidRPr="001E44B4">
        <w:rPr>
          <w:rFonts w:cs="Arial"/>
          <w:lang w:val="en-US"/>
        </w:rPr>
        <w:t>3GPP TSG-RAN WG2 #10</w:t>
      </w:r>
      <w:r>
        <w:rPr>
          <w:rFonts w:cs="Arial"/>
        </w:rPr>
        <w:t>8</w:t>
      </w:r>
      <w:r w:rsidRPr="001E44B4">
        <w:rPr>
          <w:rFonts w:cs="Arial"/>
          <w:lang w:val="en-US"/>
        </w:rPr>
        <w:tab/>
      </w:r>
      <w:r w:rsidRPr="001E44B4">
        <w:rPr>
          <w:rFonts w:cs="Arial"/>
          <w:sz w:val="32"/>
          <w:szCs w:val="32"/>
          <w:lang w:val="en-US"/>
        </w:rPr>
        <w:t xml:space="preserve"> </w:t>
      </w:r>
      <w:proofErr w:type="spellStart"/>
      <w:r w:rsidRPr="001E44B4">
        <w:rPr>
          <w:rFonts w:cs="Arial"/>
          <w:sz w:val="32"/>
          <w:szCs w:val="32"/>
          <w:lang w:val="en-US"/>
        </w:rPr>
        <w:t>TDoc</w:t>
      </w:r>
      <w:proofErr w:type="spellEnd"/>
      <w:r w:rsidRPr="001E44B4">
        <w:rPr>
          <w:rFonts w:cs="Arial"/>
          <w:sz w:val="32"/>
          <w:szCs w:val="32"/>
          <w:lang w:val="en-US"/>
        </w:rPr>
        <w:t xml:space="preserve"> </w:t>
      </w:r>
      <w:r w:rsidR="0070666A" w:rsidRPr="001E44B4">
        <w:rPr>
          <w:rFonts w:cs="Arial"/>
          <w:sz w:val="32"/>
          <w:szCs w:val="32"/>
          <w:lang w:val="en-US"/>
        </w:rPr>
        <w:t>R2-1915270</w:t>
      </w:r>
    </w:p>
    <w:bookmarkEnd w:id="0"/>
    <w:p w14:paraId="77D6AD56" w14:textId="77777777" w:rsidR="006C046E" w:rsidRPr="007A6B98" w:rsidRDefault="006C046E" w:rsidP="006C046E">
      <w:pPr>
        <w:pStyle w:val="CRCoverPage"/>
        <w:outlineLvl w:val="0"/>
        <w:rPr>
          <w:rFonts w:cs="Arial"/>
          <w:b/>
          <w:noProof/>
          <w:sz w:val="24"/>
        </w:rPr>
      </w:pPr>
      <w:r>
        <w:rPr>
          <w:rFonts w:cs="Arial"/>
          <w:b/>
          <w:noProof/>
          <w:sz w:val="24"/>
        </w:rPr>
        <w:t>Reno</w:t>
      </w:r>
      <w:r w:rsidRPr="007A6B98">
        <w:rPr>
          <w:rFonts w:cs="Arial"/>
          <w:b/>
          <w:noProof/>
          <w:sz w:val="24"/>
        </w:rPr>
        <w:t xml:space="preserve">, </w:t>
      </w:r>
      <w:r>
        <w:rPr>
          <w:rFonts w:cs="Arial"/>
          <w:b/>
          <w:noProof/>
          <w:sz w:val="24"/>
        </w:rPr>
        <w:t>USA</w:t>
      </w:r>
      <w:r w:rsidRPr="007A6B98">
        <w:rPr>
          <w:rFonts w:cs="Arial"/>
          <w:b/>
          <w:noProof/>
          <w:sz w:val="24"/>
        </w:rPr>
        <w:t xml:space="preserve">, </w:t>
      </w:r>
      <w:r>
        <w:rPr>
          <w:rFonts w:cs="Arial"/>
          <w:b/>
          <w:noProof/>
          <w:sz w:val="24"/>
        </w:rPr>
        <w:t>18</w:t>
      </w:r>
      <w:r w:rsidRPr="007A6B98">
        <w:rPr>
          <w:rFonts w:cs="Arial"/>
          <w:b/>
          <w:noProof/>
          <w:sz w:val="24"/>
          <w:vertAlign w:val="superscript"/>
        </w:rPr>
        <w:t>th</w:t>
      </w:r>
      <w:r w:rsidRPr="007A6B98">
        <w:rPr>
          <w:rFonts w:cs="Arial"/>
          <w:b/>
          <w:noProof/>
          <w:sz w:val="24"/>
        </w:rPr>
        <w:t xml:space="preserve"> – </w:t>
      </w:r>
      <w:r>
        <w:rPr>
          <w:rFonts w:cs="Arial"/>
          <w:b/>
          <w:noProof/>
          <w:sz w:val="24"/>
        </w:rPr>
        <w:t>22</w:t>
      </w:r>
      <w:r w:rsidRPr="007A6B98">
        <w:rPr>
          <w:rFonts w:cs="Arial"/>
          <w:b/>
          <w:noProof/>
          <w:sz w:val="24"/>
          <w:vertAlign w:val="superscript"/>
        </w:rPr>
        <w:t>th</w:t>
      </w:r>
      <w:r w:rsidRPr="007A6B98">
        <w:rPr>
          <w:rFonts w:cs="Arial"/>
          <w:b/>
          <w:noProof/>
          <w:sz w:val="24"/>
        </w:rPr>
        <w:t xml:space="preserve"> </w:t>
      </w:r>
      <w:r>
        <w:rPr>
          <w:rFonts w:cs="Arial"/>
          <w:b/>
          <w:noProof/>
          <w:sz w:val="24"/>
        </w:rPr>
        <w:t xml:space="preserve">November </w:t>
      </w:r>
      <w:r w:rsidRPr="007A6B98">
        <w:rPr>
          <w:rFonts w:cs="Arial"/>
          <w:b/>
          <w:noProof/>
          <w:sz w:val="24"/>
        </w:rPr>
        <w:t>2019</w:t>
      </w:r>
    </w:p>
    <w:p w14:paraId="01C4ABAA" w14:textId="77777777" w:rsidR="006C046E" w:rsidRPr="00354B8A" w:rsidRDefault="006C046E" w:rsidP="006C046E">
      <w:pPr>
        <w:pStyle w:val="3GPPHeader"/>
      </w:pPr>
    </w:p>
    <w:p w14:paraId="70FA5021" w14:textId="06866EAB" w:rsidR="006C046E" w:rsidRPr="00DD3521" w:rsidRDefault="006C046E" w:rsidP="006C046E">
      <w:pPr>
        <w:pStyle w:val="3GPPHeader"/>
        <w:rPr>
          <w:sz w:val="22"/>
          <w:szCs w:val="22"/>
          <w:lang w:val="en-US"/>
        </w:rPr>
      </w:pPr>
      <w:r w:rsidRPr="00DD3521">
        <w:rPr>
          <w:sz w:val="22"/>
          <w:szCs w:val="22"/>
          <w:lang w:val="en-US"/>
        </w:rPr>
        <w:t>Agenda Item:</w:t>
      </w:r>
      <w:r w:rsidRPr="00DD3521">
        <w:rPr>
          <w:sz w:val="22"/>
          <w:szCs w:val="22"/>
          <w:lang w:val="en-US"/>
        </w:rPr>
        <w:tab/>
      </w:r>
      <w:r>
        <w:rPr>
          <w:sz w:val="22"/>
        </w:rPr>
        <w:t>6</w:t>
      </w:r>
      <w:r>
        <w:rPr>
          <w:sz w:val="22"/>
          <w:szCs w:val="22"/>
          <w:lang w:val="en-US"/>
        </w:rPr>
        <w:t>.4.</w:t>
      </w:r>
      <w:r w:rsidR="0070666A">
        <w:rPr>
          <w:sz w:val="22"/>
          <w:szCs w:val="22"/>
          <w:lang w:val="en-US"/>
        </w:rPr>
        <w:t>2</w:t>
      </w:r>
    </w:p>
    <w:p w14:paraId="7FEBA94C" w14:textId="77777777" w:rsidR="00567A11" w:rsidRPr="00785657" w:rsidRDefault="00567A11" w:rsidP="00567A11">
      <w:pPr>
        <w:pStyle w:val="3GPPHeader"/>
        <w:rPr>
          <w:sz w:val="22"/>
          <w:szCs w:val="22"/>
          <w:lang w:val="en-US"/>
        </w:rPr>
      </w:pPr>
      <w:r>
        <w:rPr>
          <w:sz w:val="22"/>
          <w:szCs w:val="22"/>
        </w:rPr>
        <w:t>Source:</w:t>
      </w:r>
      <w:r w:rsidRPr="00CE0424">
        <w:rPr>
          <w:sz w:val="22"/>
          <w:szCs w:val="22"/>
        </w:rPr>
        <w:tab/>
        <w:t>Ericsson</w:t>
      </w:r>
    </w:p>
    <w:p w14:paraId="0ECACEF6" w14:textId="4EF1112D" w:rsidR="00567A11" w:rsidRPr="00CE0424" w:rsidRDefault="00567A11" w:rsidP="00567A11">
      <w:pPr>
        <w:pStyle w:val="3GPPHeader"/>
        <w:rPr>
          <w:sz w:val="22"/>
          <w:szCs w:val="22"/>
        </w:rPr>
      </w:pPr>
      <w:r>
        <w:rPr>
          <w:sz w:val="22"/>
          <w:szCs w:val="22"/>
        </w:rPr>
        <w:t>Title:</w:t>
      </w:r>
      <w:r w:rsidRPr="00CE0424">
        <w:rPr>
          <w:sz w:val="22"/>
          <w:szCs w:val="22"/>
        </w:rPr>
        <w:tab/>
      </w:r>
      <w:r w:rsidR="00DC40C9">
        <w:rPr>
          <w:sz w:val="22"/>
          <w:szCs w:val="22"/>
        </w:rPr>
        <w:t>Discussion on NR SL lower layer procedures</w:t>
      </w:r>
    </w:p>
    <w:p w14:paraId="15725AB5" w14:textId="77777777" w:rsidR="00A74E18" w:rsidRPr="004457DD" w:rsidRDefault="00567A11" w:rsidP="00567A11">
      <w:pPr>
        <w:pStyle w:val="3GPPHeader"/>
        <w:rPr>
          <w:rFonts w:eastAsia="DengXian"/>
          <w:sz w:val="22"/>
          <w:szCs w:val="22"/>
        </w:rPr>
      </w:pPr>
      <w:r w:rsidRPr="00CE0424">
        <w:rPr>
          <w:sz w:val="22"/>
          <w:szCs w:val="22"/>
        </w:rPr>
        <w:t>Document for:</w:t>
      </w:r>
      <w:r w:rsidRPr="00CE0424">
        <w:rPr>
          <w:sz w:val="22"/>
          <w:szCs w:val="22"/>
        </w:rPr>
        <w:tab/>
      </w:r>
      <w:r w:rsidRPr="007242BC">
        <w:rPr>
          <w:sz w:val="22"/>
          <w:szCs w:val="22"/>
        </w:rPr>
        <w:t>Discussion, Decision</w:t>
      </w:r>
    </w:p>
    <w:p w14:paraId="5F0E9317" w14:textId="77777777" w:rsidR="00A74E18" w:rsidRDefault="00A74E18" w:rsidP="00A74E18">
      <w:pPr>
        <w:pStyle w:val="Heading1"/>
      </w:pPr>
      <w:bookmarkStart w:id="2" w:name="_Ref466049030"/>
      <w:r w:rsidRPr="00CE0424">
        <w:t>Introduction</w:t>
      </w:r>
      <w:bookmarkEnd w:id="2"/>
    </w:p>
    <w:p w14:paraId="70BCD46D" w14:textId="74A0F2DA" w:rsidR="00625AA1" w:rsidRDefault="00F7135F" w:rsidP="00F7135F">
      <w:pPr>
        <w:pStyle w:val="BodyText"/>
      </w:pPr>
      <w:bookmarkStart w:id="3" w:name="_Ref458784108"/>
      <w:bookmarkStart w:id="4" w:name="_Ref458381469"/>
      <w:r w:rsidRPr="00CC69E5">
        <w:t xml:space="preserve">In this paper, we discuss </w:t>
      </w:r>
      <w:r w:rsidR="00625AA1">
        <w:t xml:space="preserve">the left miscellaneous </w:t>
      </w:r>
      <w:r w:rsidR="00B15DFF">
        <w:t>issues related to</w:t>
      </w:r>
      <w:r w:rsidR="003309B9">
        <w:t xml:space="preserve"> </w:t>
      </w:r>
      <w:r w:rsidR="00EC6ACA">
        <w:t xml:space="preserve">NR SL </w:t>
      </w:r>
      <w:r w:rsidR="00625AA1">
        <w:t>lower layer procedures, in particular:</w:t>
      </w:r>
    </w:p>
    <w:p w14:paraId="5D918F1A" w14:textId="59371325" w:rsidR="00625AA1" w:rsidRDefault="00625AA1" w:rsidP="00625AA1">
      <w:pPr>
        <w:pStyle w:val="BodyText"/>
        <w:numPr>
          <w:ilvl w:val="0"/>
          <w:numId w:val="71"/>
        </w:numPr>
      </w:pPr>
      <w:r>
        <w:t>Communication range</w:t>
      </w:r>
    </w:p>
    <w:p w14:paraId="30E652BA" w14:textId="0F1280F4" w:rsidR="00625AA1" w:rsidRDefault="00625AA1" w:rsidP="00625AA1">
      <w:pPr>
        <w:pStyle w:val="BodyText"/>
        <w:numPr>
          <w:ilvl w:val="0"/>
          <w:numId w:val="71"/>
        </w:numPr>
      </w:pPr>
      <w:r>
        <w:t>SL CSI report</w:t>
      </w:r>
    </w:p>
    <w:p w14:paraId="53E9C76A" w14:textId="5710EADF" w:rsidR="00625AA1" w:rsidRPr="00625AA1" w:rsidRDefault="00625AA1" w:rsidP="00625AA1">
      <w:pPr>
        <w:pStyle w:val="BodyText"/>
        <w:numPr>
          <w:ilvl w:val="0"/>
          <w:numId w:val="71"/>
        </w:numPr>
      </w:pPr>
      <w:r>
        <w:t>Cell reselection</w:t>
      </w:r>
    </w:p>
    <w:p w14:paraId="12288EB4" w14:textId="55324FAB" w:rsidR="006B0C7E" w:rsidRDefault="00A74E18" w:rsidP="00BB2394">
      <w:pPr>
        <w:pStyle w:val="Heading1"/>
      </w:pPr>
      <w:bookmarkStart w:id="5" w:name="_Ref489281230"/>
      <w:r>
        <w:t>Discussion</w:t>
      </w:r>
      <w:bookmarkEnd w:id="3"/>
      <w:bookmarkEnd w:id="5"/>
    </w:p>
    <w:p w14:paraId="02161210" w14:textId="2156508B" w:rsidR="00DC40C9" w:rsidRDefault="00DC40C9" w:rsidP="0009447B">
      <w:pPr>
        <w:pStyle w:val="Heading2"/>
        <w:tabs>
          <w:tab w:val="clear" w:pos="2466"/>
        </w:tabs>
        <w:ind w:hanging="2466"/>
        <w:rPr>
          <w:rFonts w:eastAsia="SimSun"/>
        </w:rPr>
      </w:pPr>
      <w:bookmarkStart w:id="6" w:name="_Hlk16259064"/>
      <w:r>
        <w:rPr>
          <w:rFonts w:eastAsia="SimSun"/>
        </w:rPr>
        <w:t>Communication range</w:t>
      </w:r>
    </w:p>
    <w:p w14:paraId="373542E6" w14:textId="371A9653" w:rsidR="00DC40C9" w:rsidRDefault="0084547B" w:rsidP="0084547B">
      <w:r>
        <w:t xml:space="preserve">In the last RAN1 meeting, it has been agreed that zone ID will be carried in SCI representing the location of the transmitter UE. The left issue related to communication range is then whether/how to consider communication range during LCP procedures.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4547B" w14:paraId="694B017A" w14:textId="77777777" w:rsidTr="003779ED">
        <w:tc>
          <w:tcPr>
            <w:tcW w:w="9855" w:type="dxa"/>
            <w:shd w:val="clear" w:color="auto" w:fill="auto"/>
          </w:tcPr>
          <w:p w14:paraId="702DB1C5" w14:textId="7AE5A7B6" w:rsidR="0084547B" w:rsidRPr="0009447B" w:rsidRDefault="0084547B" w:rsidP="0084547B">
            <w:pPr>
              <w:rPr>
                <w:b/>
              </w:rPr>
            </w:pPr>
            <w:r w:rsidRPr="0009447B">
              <w:rPr>
                <w:b/>
              </w:rPr>
              <w:t>RAN1#98 bis</w:t>
            </w:r>
          </w:p>
          <w:p w14:paraId="5B68C5B9" w14:textId="4A42651C" w:rsidR="0084547B" w:rsidRPr="0084547B" w:rsidRDefault="0084547B" w:rsidP="0084547B">
            <w:r w:rsidRPr="0084547B">
              <w:t>Working assumption:</w:t>
            </w:r>
          </w:p>
          <w:p w14:paraId="5D763D25" w14:textId="77777777" w:rsidR="0084547B" w:rsidRPr="0084547B" w:rsidRDefault="0084547B" w:rsidP="0084547B">
            <w:r w:rsidRPr="0084547B">
              <w:t>•</w:t>
            </w:r>
            <w:r w:rsidRPr="0084547B">
              <w:tab/>
              <w:t>For TX-RX distance-based HARQ feedback for groupcast Option 1,</w:t>
            </w:r>
          </w:p>
          <w:p w14:paraId="1C14A6B6" w14:textId="77777777" w:rsidR="0084547B" w:rsidRPr="0084547B" w:rsidRDefault="0084547B" w:rsidP="0084547B">
            <w:r w:rsidRPr="0084547B">
              <w:t>o</w:t>
            </w:r>
            <w:r w:rsidRPr="0084547B">
              <w:tab/>
              <w:t>Zone is (pre-)configured with respect to geographical area, and Zone ID associated with TE UE’s location is indicated by SCI.</w:t>
            </w:r>
          </w:p>
          <w:p w14:paraId="5F4C47AB" w14:textId="77777777" w:rsidR="0084547B" w:rsidRPr="0084547B" w:rsidRDefault="0084547B" w:rsidP="0084547B">
            <w:r w:rsidRPr="0084547B">
              <w:t></w:t>
            </w:r>
            <w:r w:rsidRPr="0084547B">
              <w:tab/>
              <w:t>Details FFS</w:t>
            </w:r>
          </w:p>
          <w:p w14:paraId="466D4709" w14:textId="0C6643C4" w:rsidR="0084547B" w:rsidRDefault="0084547B" w:rsidP="0084547B">
            <w:r w:rsidRPr="0084547B">
              <w:t></w:t>
            </w:r>
            <w:r w:rsidRPr="0084547B">
              <w:tab/>
              <w:t xml:space="preserve">Note: this does not intend to impact the discussion on the </w:t>
            </w:r>
            <w:proofErr w:type="gramStart"/>
            <w:r w:rsidRPr="0084547B">
              <w:t>zone based</w:t>
            </w:r>
            <w:proofErr w:type="gramEnd"/>
            <w:r w:rsidRPr="0084547B">
              <w:t xml:space="preserve"> resource allocation.</w:t>
            </w:r>
          </w:p>
        </w:tc>
      </w:tr>
    </w:tbl>
    <w:p w14:paraId="7FC5703F" w14:textId="6E40B5FC" w:rsidR="0084547B" w:rsidRDefault="0084547B" w:rsidP="0084547B">
      <w:pPr>
        <w:rPr>
          <w:rFonts w:cs="Arial"/>
        </w:rPr>
      </w:pPr>
    </w:p>
    <w:p w14:paraId="4392655B" w14:textId="07F086F2" w:rsidR="00AE1890" w:rsidRDefault="00AE1890" w:rsidP="0084547B">
      <w:pPr>
        <w:rPr>
          <w:rFonts w:cs="Arial"/>
        </w:rPr>
      </w:pPr>
      <w:r>
        <w:rPr>
          <w:rFonts w:cs="Arial"/>
        </w:rPr>
        <w:t>In our view, since communication range has impact on the groupcast HARQ operation (i.e., RX UE may send NACK only if it’s in a given range), and transmission power control (i.e., increase the power if the required communication range is high), we believe it is beneficial to consider communic</w:t>
      </w:r>
      <w:r w:rsidR="006C1D4F">
        <w:rPr>
          <w:rFonts w:cs="Arial"/>
        </w:rPr>
        <w:t>a</w:t>
      </w:r>
      <w:r>
        <w:rPr>
          <w:rFonts w:cs="Arial"/>
        </w:rPr>
        <w:t>tion range as a</w:t>
      </w:r>
      <w:r w:rsidR="001C189C">
        <w:rPr>
          <w:rFonts w:cs="Arial"/>
        </w:rPr>
        <w:t>n</w:t>
      </w:r>
      <w:r>
        <w:rPr>
          <w:rFonts w:cs="Arial"/>
        </w:rPr>
        <w:t xml:space="preserve"> LCP restriction. </w:t>
      </w:r>
    </w:p>
    <w:p w14:paraId="68F2ADE4" w14:textId="736F5EF0" w:rsidR="00AE1890" w:rsidRDefault="00AE1890" w:rsidP="0084547B">
      <w:pPr>
        <w:rPr>
          <w:rFonts w:cs="Arial"/>
        </w:rPr>
      </w:pPr>
      <w:r>
        <w:rPr>
          <w:rFonts w:cs="Arial"/>
        </w:rPr>
        <w:t xml:space="preserve">Regarding how to implement such restriction and avoid UE </w:t>
      </w:r>
      <w:r w:rsidR="7D3AC8F6" w:rsidRPr="7D3AC8F6">
        <w:rPr>
          <w:rFonts w:cs="Arial"/>
        </w:rPr>
        <w:t>multiplexing</w:t>
      </w:r>
      <w:r>
        <w:rPr>
          <w:rFonts w:cs="Arial"/>
        </w:rPr>
        <w:t xml:space="preserve"> MAC SDUs of too diverse communication range requirement, one can base on a configured or preconfigured communication range group</w:t>
      </w:r>
      <w:r w:rsidR="0012242C">
        <w:rPr>
          <w:rFonts w:cs="Arial"/>
        </w:rPr>
        <w:t xml:space="preserve">. For example, the NW can configure three communication range groups such as A: {range&lt;100m}, B: {100m&lt; range&lt;300m}, </w:t>
      </w:r>
      <w:proofErr w:type="gramStart"/>
      <w:r w:rsidR="0012242C">
        <w:rPr>
          <w:rFonts w:cs="Arial"/>
        </w:rPr>
        <w:t>C:{</w:t>
      </w:r>
      <w:proofErr w:type="gramEnd"/>
      <w:r w:rsidR="0012242C">
        <w:rPr>
          <w:rFonts w:cs="Arial"/>
        </w:rPr>
        <w:t xml:space="preserve">300m&lt;range}. Then MAC SDUs belonging to the same communication range group can be multiplexed together. </w:t>
      </w:r>
    </w:p>
    <w:p w14:paraId="2F0CD470" w14:textId="771AE03B" w:rsidR="00AE1890" w:rsidRPr="0009447B" w:rsidRDefault="0012242C" w:rsidP="0009447B">
      <w:pPr>
        <w:pStyle w:val="Proposal"/>
      </w:pPr>
      <w:bookmarkStart w:id="7" w:name="_Toc24015427"/>
      <w:r>
        <w:t xml:space="preserve">For NR </w:t>
      </w:r>
      <w:proofErr w:type="spellStart"/>
      <w:r>
        <w:t>sidelink</w:t>
      </w:r>
      <w:proofErr w:type="spellEnd"/>
      <w:r>
        <w:t>, only MAC SDUs belonging to the same communication range group can be multiplexed in to the same MAC PDU. Communication range group is configured or pre-configured by the NW.</w:t>
      </w:r>
      <w:bookmarkEnd w:id="7"/>
      <w:r>
        <w:t xml:space="preserve"> </w:t>
      </w:r>
    </w:p>
    <w:p w14:paraId="2B54127B" w14:textId="05404B0D" w:rsidR="00DC40C9" w:rsidRPr="008B01E3" w:rsidRDefault="00DC40C9" w:rsidP="0009447B">
      <w:pPr>
        <w:pStyle w:val="Heading2"/>
        <w:tabs>
          <w:tab w:val="clear" w:pos="2466"/>
        </w:tabs>
        <w:ind w:hanging="2466"/>
      </w:pPr>
      <w:r w:rsidRPr="00A44F1C">
        <w:lastRenderedPageBreak/>
        <w:t>CSI</w:t>
      </w:r>
      <w:r w:rsidR="0012242C">
        <w:t>/RSRP</w:t>
      </w:r>
      <w:r w:rsidRPr="00A44F1C">
        <w:t xml:space="preserve"> report over SL</w:t>
      </w:r>
    </w:p>
    <w:p w14:paraId="1C01CCCE" w14:textId="50D0F4FA" w:rsidR="00DC40C9" w:rsidRDefault="0012242C" w:rsidP="00DC40C9">
      <w:r>
        <w:rPr>
          <w:rFonts w:eastAsia="Arial" w:cs="Arial"/>
        </w:rPr>
        <w:t xml:space="preserve">It has been agreed in the last RAN1 meeting that, CSI report and RSRP report is conveyed by L2 signalling. In this section, we </w:t>
      </w:r>
      <w:proofErr w:type="spellStart"/>
      <w:r>
        <w:rPr>
          <w:rFonts w:eastAsia="Arial" w:cs="Arial"/>
        </w:rPr>
        <w:t>analyze</w:t>
      </w:r>
      <w:proofErr w:type="spellEnd"/>
      <w:r>
        <w:rPr>
          <w:rFonts w:eastAsia="Arial" w:cs="Arial"/>
        </w:rPr>
        <w:t xml:space="preserve"> possible solutions and relevant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C40C9" w14:paraId="3EB7CF32" w14:textId="77777777" w:rsidTr="00CE1F60">
        <w:tc>
          <w:tcPr>
            <w:tcW w:w="9855" w:type="dxa"/>
            <w:shd w:val="clear" w:color="auto" w:fill="auto"/>
          </w:tcPr>
          <w:p w14:paraId="7907EF78" w14:textId="34CDB12F" w:rsidR="0012242C" w:rsidRDefault="0012242C" w:rsidP="0012242C">
            <w:pPr>
              <w:pStyle w:val="CommentText"/>
            </w:pPr>
            <w:r w:rsidRPr="0009447B">
              <w:rPr>
                <w:b/>
              </w:rPr>
              <w:t>RAN1</w:t>
            </w:r>
            <w:r>
              <w:rPr>
                <w:b/>
              </w:rPr>
              <w:t xml:space="preserve"> </w:t>
            </w:r>
            <w:r w:rsidRPr="0009447B">
              <w:rPr>
                <w:b/>
              </w:rPr>
              <w:t xml:space="preserve">98bis: </w:t>
            </w:r>
          </w:p>
          <w:p w14:paraId="407AC355" w14:textId="4223C05B" w:rsidR="0012242C" w:rsidRPr="00D441A2" w:rsidRDefault="0012242C" w:rsidP="0012242C">
            <w:pPr>
              <w:rPr>
                <w:lang w:val="en-US" w:eastAsia="x-none"/>
              </w:rPr>
            </w:pPr>
            <w:r w:rsidRPr="00D441A2">
              <w:rPr>
                <w:highlight w:val="green"/>
                <w:lang w:val="en-US" w:eastAsia="x-none"/>
              </w:rPr>
              <w:t>Agreements</w:t>
            </w:r>
            <w:r w:rsidRPr="00D441A2">
              <w:rPr>
                <w:lang w:val="en-US" w:eastAsia="x-none"/>
              </w:rPr>
              <w:t>:</w:t>
            </w:r>
          </w:p>
          <w:p w14:paraId="40A46DB8" w14:textId="77777777" w:rsidR="0012242C" w:rsidRPr="00D441A2" w:rsidRDefault="0012242C" w:rsidP="0012242C">
            <w:pPr>
              <w:pStyle w:val="LGTdoc"/>
              <w:numPr>
                <w:ilvl w:val="0"/>
                <w:numId w:val="72"/>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 xml:space="preserve">For CQI/RI reporting on PSSCH: </w:t>
            </w:r>
          </w:p>
          <w:p w14:paraId="7F11FD83" w14:textId="77777777" w:rsidR="0012242C" w:rsidRPr="00D441A2" w:rsidRDefault="0012242C" w:rsidP="0012242C">
            <w:pPr>
              <w:pStyle w:val="LGTdoc"/>
              <w:numPr>
                <w:ilvl w:val="1"/>
                <w:numId w:val="72"/>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Higher layer signaling (e.g. MAC CE) is used for CQI/RI reporting</w:t>
            </w:r>
          </w:p>
          <w:p w14:paraId="70378A57" w14:textId="77777777" w:rsidR="0012242C" w:rsidRPr="00D441A2" w:rsidRDefault="0012242C" w:rsidP="0012242C">
            <w:pPr>
              <w:pStyle w:val="LGTdoc"/>
              <w:numPr>
                <w:ilvl w:val="2"/>
                <w:numId w:val="72"/>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Details up to RAN2</w:t>
            </w:r>
          </w:p>
          <w:p w14:paraId="1DC32045" w14:textId="77777777" w:rsidR="0012242C" w:rsidRDefault="0012242C" w:rsidP="0012242C">
            <w:pPr>
              <w:pStyle w:val="LGTdoc"/>
              <w:numPr>
                <w:ilvl w:val="1"/>
                <w:numId w:val="72"/>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 xml:space="preserve">SL CQI/RI measurement and derivation are based on the existing physical layer procedure for </w:t>
            </w:r>
            <w:proofErr w:type="spellStart"/>
            <w:r w:rsidRPr="00D441A2">
              <w:rPr>
                <w:rFonts w:ascii="Calibri" w:hAnsi="Calibri" w:cs="Calibri"/>
                <w:sz w:val="20"/>
                <w:szCs w:val="20"/>
                <w:lang w:val="en-US"/>
              </w:rPr>
              <w:t>Uu</w:t>
            </w:r>
            <w:proofErr w:type="spellEnd"/>
          </w:p>
          <w:p w14:paraId="61B9C9DC" w14:textId="77777777" w:rsidR="0012242C" w:rsidRDefault="0012242C" w:rsidP="0012242C">
            <w:pPr>
              <w:pStyle w:val="CommentText"/>
              <w:rPr>
                <w:lang w:val="en-US"/>
              </w:rPr>
            </w:pPr>
          </w:p>
          <w:p w14:paraId="2F81F21C" w14:textId="70973E3E" w:rsidR="0012242C" w:rsidRPr="00FA02DB" w:rsidRDefault="0012242C" w:rsidP="0012242C">
            <w:pPr>
              <w:rPr>
                <w:lang w:val="en-US" w:eastAsia="x-none"/>
              </w:rPr>
            </w:pPr>
            <w:r w:rsidRPr="00FA02DB">
              <w:rPr>
                <w:highlight w:val="green"/>
                <w:lang w:val="en-US" w:eastAsia="x-none"/>
              </w:rPr>
              <w:t>Agreements</w:t>
            </w:r>
            <w:r w:rsidRPr="00FA02DB">
              <w:rPr>
                <w:lang w:val="en-US" w:eastAsia="x-none"/>
              </w:rPr>
              <w:t>:</w:t>
            </w:r>
          </w:p>
          <w:p w14:paraId="2731F94F" w14:textId="77777777" w:rsidR="0012242C" w:rsidRPr="00FA02DB" w:rsidRDefault="0012242C" w:rsidP="0012242C">
            <w:pPr>
              <w:pStyle w:val="LGTdoc"/>
              <w:numPr>
                <w:ilvl w:val="0"/>
                <w:numId w:val="73"/>
              </w:numPr>
              <w:spacing w:before="100" w:beforeAutospacing="1" w:afterLines="0" w:after="60"/>
              <w:rPr>
                <w:rFonts w:ascii="Calibri" w:hAnsi="Calibri" w:cs="Calibri"/>
                <w:sz w:val="20"/>
                <w:szCs w:val="20"/>
                <w:lang w:val="en-US"/>
              </w:rPr>
            </w:pPr>
            <w:r w:rsidRPr="00FA02DB">
              <w:rPr>
                <w:rFonts w:ascii="Calibri" w:hAnsi="Calibri" w:cs="Calibri"/>
                <w:sz w:val="20"/>
                <w:szCs w:val="20"/>
                <w:lang w:val="en-US"/>
              </w:rPr>
              <w:t xml:space="preserve">L3-filtered </w:t>
            </w:r>
            <w:proofErr w:type="spellStart"/>
            <w:r w:rsidRPr="00FA02DB">
              <w:rPr>
                <w:rFonts w:ascii="Calibri" w:hAnsi="Calibri" w:cs="Calibri"/>
                <w:sz w:val="20"/>
                <w:szCs w:val="20"/>
                <w:lang w:val="en-US"/>
              </w:rPr>
              <w:t>sidelink</w:t>
            </w:r>
            <w:proofErr w:type="spellEnd"/>
            <w:r w:rsidRPr="00FA02DB">
              <w:rPr>
                <w:rFonts w:ascii="Calibri" w:hAnsi="Calibri" w:cs="Calibri"/>
                <w:sz w:val="20"/>
                <w:szCs w:val="20"/>
                <w:lang w:val="en-US"/>
              </w:rPr>
              <w:t xml:space="preserve"> RSRP reporting (from RX UE to TX UE) for open-loop power control for PSCCH/PSSCH uses higher layer signaling. </w:t>
            </w:r>
          </w:p>
          <w:p w14:paraId="51BF9B5B" w14:textId="1502482F" w:rsidR="00DC40C9" w:rsidRDefault="0012242C" w:rsidP="0009447B">
            <w:pPr>
              <w:pStyle w:val="LGTdoc"/>
              <w:spacing w:after="120"/>
            </w:pPr>
            <w:r w:rsidRPr="0009447B">
              <w:rPr>
                <w:rFonts w:ascii="Calibri" w:hAnsi="Calibri" w:cs="Calibri"/>
                <w:sz w:val="20"/>
                <w:szCs w:val="20"/>
                <w:lang w:val="en-US"/>
              </w:rPr>
              <w:t>Details (e.g., reporting layer, triggering condition, etc.) are up to RAN2.</w:t>
            </w:r>
          </w:p>
        </w:tc>
      </w:tr>
    </w:tbl>
    <w:p w14:paraId="2C94828A" w14:textId="77777777" w:rsidR="00DC40C9" w:rsidRPr="00EF0D9E" w:rsidRDefault="00DC40C9" w:rsidP="00DC40C9">
      <w:pPr>
        <w:pStyle w:val="ListParagraph"/>
        <w:spacing w:after="160"/>
        <w:ind w:left="714"/>
        <w:jc w:val="both"/>
        <w:rPr>
          <w:rFonts w:ascii="Arial" w:eastAsia="Arial" w:hAnsi="Arial" w:cs="Arial"/>
        </w:rPr>
      </w:pPr>
    </w:p>
    <w:p w14:paraId="5860A5A6" w14:textId="3D0F39E9" w:rsidR="00DC40C9" w:rsidRPr="00B60539" w:rsidRDefault="00DC40C9" w:rsidP="00DC40C9">
      <w:pPr>
        <w:rPr>
          <w:rFonts w:cs="Arial"/>
        </w:rPr>
      </w:pPr>
      <w:r>
        <w:rPr>
          <w:rFonts w:cs="Arial"/>
        </w:rPr>
        <w:t>Regarding the methods to carry CSI</w:t>
      </w:r>
      <w:r w:rsidR="0012242C">
        <w:rPr>
          <w:rFonts w:cs="Arial"/>
        </w:rPr>
        <w:t>/RSRP</w:t>
      </w:r>
      <w:r>
        <w:rPr>
          <w:rFonts w:cs="Arial"/>
        </w:rPr>
        <w:t xml:space="preserve"> report over SL, in </w:t>
      </w:r>
      <w:r w:rsidRPr="00B60539">
        <w:rPr>
          <w:rFonts w:cs="Arial"/>
        </w:rPr>
        <w:t xml:space="preserve">general, there are </w:t>
      </w:r>
      <w:r w:rsidR="0012242C">
        <w:rPr>
          <w:rFonts w:cs="Arial"/>
        </w:rPr>
        <w:t>two</w:t>
      </w:r>
      <w:r w:rsidR="0012242C" w:rsidRPr="00B60539">
        <w:rPr>
          <w:rFonts w:cs="Arial"/>
        </w:rPr>
        <w:t xml:space="preserve"> </w:t>
      </w:r>
      <w:r w:rsidRPr="00B60539">
        <w:rPr>
          <w:rFonts w:cs="Arial"/>
        </w:rPr>
        <w:t>ways</w:t>
      </w:r>
      <w:r>
        <w:rPr>
          <w:rFonts w:cs="Arial"/>
        </w:rPr>
        <w:t>:</w:t>
      </w:r>
    </w:p>
    <w:p w14:paraId="6AD053B4" w14:textId="3E393BB6" w:rsidR="00DC40C9" w:rsidRPr="00F80D3E" w:rsidRDefault="00DC40C9" w:rsidP="00DC40C9">
      <w:pPr>
        <w:pStyle w:val="ListParagraph"/>
        <w:numPr>
          <w:ilvl w:val="0"/>
          <w:numId w:val="70"/>
        </w:numPr>
        <w:spacing w:after="160" w:line="259" w:lineRule="auto"/>
        <w:jc w:val="both"/>
        <w:rPr>
          <w:rFonts w:ascii="Arial" w:hAnsi="Arial" w:cs="Arial"/>
        </w:rPr>
      </w:pPr>
      <w:r>
        <w:rPr>
          <w:rFonts w:ascii="Arial" w:hAnsi="Arial" w:cs="Arial"/>
        </w:rPr>
        <w:t xml:space="preserve">Option </w:t>
      </w:r>
      <w:r w:rsidR="0012242C">
        <w:rPr>
          <w:rFonts w:ascii="Arial" w:hAnsi="Arial" w:cs="Arial"/>
        </w:rPr>
        <w:t>1</w:t>
      </w:r>
      <w:r>
        <w:rPr>
          <w:rFonts w:ascii="Arial" w:hAnsi="Arial" w:cs="Arial"/>
        </w:rPr>
        <w:t>: per PC5-</w:t>
      </w:r>
      <w:r w:rsidRPr="00F80D3E">
        <w:rPr>
          <w:rFonts w:ascii="Arial" w:hAnsi="Arial" w:cs="Arial"/>
        </w:rPr>
        <w:t>RRC message</w:t>
      </w:r>
      <w:r>
        <w:rPr>
          <w:rFonts w:ascii="Arial" w:hAnsi="Arial" w:cs="Arial"/>
        </w:rPr>
        <w:t>;</w:t>
      </w:r>
    </w:p>
    <w:p w14:paraId="552820D1" w14:textId="34B483B8" w:rsidR="00DC40C9" w:rsidRPr="00F80D3E" w:rsidRDefault="00DC40C9" w:rsidP="00DC40C9">
      <w:pPr>
        <w:pStyle w:val="ListParagraph"/>
        <w:numPr>
          <w:ilvl w:val="0"/>
          <w:numId w:val="70"/>
        </w:numPr>
        <w:spacing w:after="160" w:line="259" w:lineRule="auto"/>
        <w:jc w:val="both"/>
        <w:rPr>
          <w:rFonts w:ascii="Arial" w:eastAsia="SimSun" w:hAnsi="Arial" w:cs="Arial"/>
        </w:rPr>
      </w:pPr>
      <w:r w:rsidRPr="00F80D3E">
        <w:rPr>
          <w:rFonts w:ascii="Arial" w:hAnsi="Arial" w:cs="Arial"/>
        </w:rPr>
        <w:t xml:space="preserve">Option </w:t>
      </w:r>
      <w:r w:rsidR="0012242C">
        <w:rPr>
          <w:rFonts w:ascii="Arial" w:hAnsi="Arial" w:cs="Arial"/>
        </w:rPr>
        <w:t>2</w:t>
      </w:r>
      <w:r w:rsidRPr="00F80D3E">
        <w:rPr>
          <w:rFonts w:ascii="Arial" w:hAnsi="Arial" w:cs="Arial"/>
        </w:rPr>
        <w:t xml:space="preserve">: </w:t>
      </w:r>
      <w:r>
        <w:rPr>
          <w:rFonts w:ascii="Arial" w:hAnsi="Arial" w:cs="Arial"/>
        </w:rPr>
        <w:t xml:space="preserve">per SL </w:t>
      </w:r>
      <w:r w:rsidRPr="00F80D3E">
        <w:rPr>
          <w:rFonts w:ascii="Arial" w:hAnsi="Arial" w:cs="Arial"/>
        </w:rPr>
        <w:t>MAC CE</w:t>
      </w:r>
      <w:r>
        <w:rPr>
          <w:rFonts w:ascii="Arial" w:hAnsi="Arial" w:cs="Arial"/>
        </w:rPr>
        <w:t>.</w:t>
      </w:r>
    </w:p>
    <w:p w14:paraId="3D26631C" w14:textId="1C1B221D" w:rsidR="00DC40C9" w:rsidRDefault="00F224D3" w:rsidP="00DC40C9">
      <w:pPr>
        <w:rPr>
          <w:rFonts w:eastAsia="Arial" w:cs="Arial"/>
        </w:rPr>
      </w:pPr>
      <w:bookmarkStart w:id="8" w:name="_Toc5119270"/>
      <w:r>
        <w:rPr>
          <w:rFonts w:eastAsia="Arial" w:cs="Arial"/>
        </w:rPr>
        <w:t xml:space="preserve">For SL CSI report, </w:t>
      </w:r>
      <w:r w:rsidR="00D17469">
        <w:rPr>
          <w:rFonts w:eastAsia="Arial" w:cs="Arial"/>
        </w:rPr>
        <w:t xml:space="preserve">its validity at the transmitter decreases with </w:t>
      </w:r>
      <w:r>
        <w:rPr>
          <w:rFonts w:eastAsia="Arial" w:cs="Arial"/>
        </w:rPr>
        <w:t>time, therefore it is suggested to avoid unnecess</w:t>
      </w:r>
      <w:r w:rsidR="00827B7C">
        <w:rPr>
          <w:rFonts w:eastAsia="Arial" w:cs="Arial"/>
        </w:rPr>
        <w:t>a</w:t>
      </w:r>
      <w:r>
        <w:rPr>
          <w:rFonts w:eastAsia="Arial" w:cs="Arial"/>
        </w:rPr>
        <w:t>ry processing delay and retransmi</w:t>
      </w:r>
      <w:r w:rsidR="00220209">
        <w:rPr>
          <w:rFonts w:eastAsia="Arial" w:cs="Arial"/>
        </w:rPr>
        <w:t>s</w:t>
      </w:r>
      <w:r>
        <w:rPr>
          <w:rFonts w:eastAsia="Arial" w:cs="Arial"/>
        </w:rPr>
        <w:t xml:space="preserve">sion delay. Considering this, we </w:t>
      </w:r>
      <w:proofErr w:type="spellStart"/>
      <w:r>
        <w:rPr>
          <w:rFonts w:eastAsia="Arial" w:cs="Arial"/>
        </w:rPr>
        <w:t>sligtly</w:t>
      </w:r>
      <w:proofErr w:type="spellEnd"/>
      <w:r>
        <w:rPr>
          <w:rFonts w:eastAsia="Arial" w:cs="Arial"/>
        </w:rPr>
        <w:t xml:space="preserve"> prefer to use SL MAC CE to carry the SL CSI report. </w:t>
      </w:r>
      <w:r w:rsidR="00DC40C9">
        <w:rPr>
          <w:rFonts w:eastAsia="Arial" w:cs="Arial"/>
        </w:rPr>
        <w:t xml:space="preserve">Furthermore, we believe that one specific LCID should be allocated to the MAC CE carrying SL CSI report, same as the LCID assignment to MAC CE in NR </w:t>
      </w:r>
      <w:proofErr w:type="spellStart"/>
      <w:r w:rsidR="00DC40C9">
        <w:rPr>
          <w:rFonts w:eastAsia="Arial" w:cs="Arial"/>
        </w:rPr>
        <w:t>Uu</w:t>
      </w:r>
      <w:proofErr w:type="spellEnd"/>
      <w:r w:rsidR="00DC40C9">
        <w:rPr>
          <w:rFonts w:eastAsia="Arial" w:cs="Arial"/>
        </w:rPr>
        <w:t xml:space="preserve">. In this way, no additional signalling in SCI is needed to indicate the presence of SL CSI report in the TB transmission. </w:t>
      </w:r>
    </w:p>
    <w:p w14:paraId="04B4F90D" w14:textId="7D8D9291" w:rsidR="00DC40C9" w:rsidRDefault="00DC40C9" w:rsidP="00DC40C9">
      <w:pPr>
        <w:pStyle w:val="Proposal"/>
        <w:tabs>
          <w:tab w:val="clear" w:pos="1304"/>
          <w:tab w:val="num" w:pos="2438"/>
        </w:tabs>
        <w:overflowPunct/>
        <w:autoSpaceDE/>
        <w:autoSpaceDN/>
        <w:adjustRightInd/>
        <w:spacing w:line="259" w:lineRule="auto"/>
        <w:ind w:left="1701" w:hanging="1701"/>
        <w:textAlignment w:val="auto"/>
      </w:pPr>
      <w:bookmarkStart w:id="9" w:name="_Toc7515065"/>
      <w:bookmarkStart w:id="10" w:name="_Toc7728758"/>
      <w:bookmarkStart w:id="11" w:name="_Toc16081229"/>
      <w:bookmarkStart w:id="12" w:name="_Toc16081329"/>
      <w:bookmarkStart w:id="13" w:name="_Toc16781961"/>
      <w:bookmarkStart w:id="14" w:name="_Toc24015428"/>
      <w:r>
        <w:t xml:space="preserve">RAN2 </w:t>
      </w:r>
      <w:r w:rsidR="00F224D3">
        <w:t xml:space="preserve">considers </w:t>
      </w:r>
      <w:r>
        <w:t>SL MAC CE to carry CSI report over SL</w:t>
      </w:r>
      <w:r w:rsidRPr="0062150D">
        <w:t>.</w:t>
      </w:r>
      <w:bookmarkEnd w:id="9"/>
      <w:bookmarkEnd w:id="10"/>
      <w:bookmarkEnd w:id="11"/>
      <w:bookmarkEnd w:id="12"/>
      <w:bookmarkEnd w:id="13"/>
      <w:bookmarkEnd w:id="14"/>
      <w:r>
        <w:t xml:space="preserve"> </w:t>
      </w:r>
    </w:p>
    <w:p w14:paraId="2ED51DC6" w14:textId="227884D7" w:rsidR="00DC40C9" w:rsidRPr="0009447B" w:rsidRDefault="00DC40C9" w:rsidP="0009447B">
      <w:pPr>
        <w:pStyle w:val="Proposal"/>
        <w:tabs>
          <w:tab w:val="clear" w:pos="1304"/>
          <w:tab w:val="num" w:pos="2438"/>
        </w:tabs>
        <w:overflowPunct/>
        <w:autoSpaceDE/>
        <w:autoSpaceDN/>
        <w:adjustRightInd/>
        <w:spacing w:line="259" w:lineRule="auto"/>
        <w:ind w:left="1701" w:hanging="1701"/>
        <w:textAlignment w:val="auto"/>
        <w:rPr>
          <w:rFonts w:eastAsia="Arial" w:cs="Arial"/>
        </w:rPr>
      </w:pPr>
      <w:bookmarkStart w:id="15" w:name="_Toc16081230"/>
      <w:bookmarkStart w:id="16" w:name="_Toc16081330"/>
      <w:bookmarkStart w:id="17" w:name="_Toc16781962"/>
      <w:bookmarkStart w:id="18" w:name="_Toc24015429"/>
      <w:r>
        <w:rPr>
          <w:rFonts w:eastAsia="Arial" w:cs="Arial"/>
        </w:rPr>
        <w:t>One specific SL LCID is allocated to the MAC CE carrying SL CSI report.</w:t>
      </w:r>
      <w:bookmarkEnd w:id="15"/>
      <w:bookmarkEnd w:id="16"/>
      <w:bookmarkEnd w:id="17"/>
      <w:bookmarkEnd w:id="18"/>
    </w:p>
    <w:p w14:paraId="40E3F7B1" w14:textId="34693FF8" w:rsidR="00DC40C9" w:rsidRDefault="00DC40C9" w:rsidP="00DC40C9">
      <w:pPr>
        <w:rPr>
          <w:rFonts w:eastAsia="Arial" w:cs="Arial"/>
        </w:rPr>
      </w:pPr>
      <w:r>
        <w:rPr>
          <w:rFonts w:eastAsia="Arial" w:cs="Arial"/>
        </w:rPr>
        <w:t xml:space="preserve">CSI report acquisition procedure is a per unicast link (i.e. identified by a pair of source and destination layer 2 ID) operation. In the same unicast link, </w:t>
      </w:r>
      <w:r w:rsidR="00F07EA8">
        <w:rPr>
          <w:rFonts w:eastAsia="Arial" w:cs="Arial"/>
        </w:rPr>
        <w:t xml:space="preserve">prioritization rule among </w:t>
      </w:r>
      <w:r>
        <w:rPr>
          <w:rFonts w:eastAsia="Arial" w:cs="Arial"/>
        </w:rPr>
        <w:t xml:space="preserve">data and MAC CE </w:t>
      </w:r>
      <w:r w:rsidR="00F07EA8">
        <w:rPr>
          <w:rFonts w:eastAsia="Arial" w:cs="Arial"/>
        </w:rPr>
        <w:t>should be discussed</w:t>
      </w:r>
      <w:r>
        <w:rPr>
          <w:rFonts w:eastAsia="Arial" w:cs="Arial"/>
        </w:rPr>
        <w:t xml:space="preserve">. </w:t>
      </w:r>
      <w:r w:rsidR="00F07EA8">
        <w:rPr>
          <w:rFonts w:eastAsia="Arial" w:cs="Arial"/>
        </w:rPr>
        <w:t>For example</w:t>
      </w:r>
      <w:r>
        <w:rPr>
          <w:rFonts w:eastAsia="Arial" w:cs="Arial"/>
        </w:rPr>
        <w:t>,</w:t>
      </w:r>
      <w:r w:rsidR="00F07EA8">
        <w:rPr>
          <w:rFonts w:eastAsia="Arial" w:cs="Arial"/>
        </w:rPr>
        <w:t xml:space="preserve"> if</w:t>
      </w:r>
      <w:r>
        <w:rPr>
          <w:rFonts w:eastAsia="Arial" w:cs="Arial"/>
        </w:rPr>
        <w:t xml:space="preserve"> SL CSI report MAC CE is always </w:t>
      </w:r>
      <w:r w:rsidR="00F07EA8">
        <w:rPr>
          <w:rFonts w:eastAsia="Arial" w:cs="Arial"/>
        </w:rPr>
        <w:t xml:space="preserve">(down) </w:t>
      </w:r>
      <w:r>
        <w:rPr>
          <w:rFonts w:eastAsia="Arial" w:cs="Arial"/>
        </w:rPr>
        <w:t xml:space="preserve">prioritized </w:t>
      </w:r>
      <w:r w:rsidR="00F07EA8">
        <w:rPr>
          <w:rFonts w:eastAsia="Arial" w:cs="Arial"/>
        </w:rPr>
        <w:t xml:space="preserve">than </w:t>
      </w:r>
      <w:r>
        <w:rPr>
          <w:rFonts w:eastAsia="Arial" w:cs="Arial"/>
        </w:rPr>
        <w:t xml:space="preserve">data in terms of transmission. </w:t>
      </w:r>
    </w:p>
    <w:p w14:paraId="04A21513" w14:textId="44C7D506" w:rsidR="00DC40C9" w:rsidRDefault="00F07EA8" w:rsidP="00DC40C9">
      <w:pPr>
        <w:pStyle w:val="Proposal"/>
        <w:tabs>
          <w:tab w:val="clear" w:pos="1304"/>
        </w:tabs>
        <w:ind w:left="1701" w:hanging="1701"/>
        <w:rPr>
          <w:rFonts w:eastAsia="Arial" w:cs="Arial"/>
        </w:rPr>
      </w:pPr>
      <w:bookmarkStart w:id="19" w:name="_Toc16781963"/>
      <w:bookmarkStart w:id="20" w:name="_Toc24015430"/>
      <w:r>
        <w:rPr>
          <w:rFonts w:eastAsia="Arial"/>
        </w:rPr>
        <w:t>RAN2 discusses the prioritization between SL CSI report MAC CE and SL data traffic</w:t>
      </w:r>
      <w:r w:rsidR="00DC40C9">
        <w:rPr>
          <w:rFonts w:eastAsia="Arial"/>
        </w:rPr>
        <w:t>.</w:t>
      </w:r>
      <w:bookmarkEnd w:id="19"/>
      <w:bookmarkEnd w:id="20"/>
    </w:p>
    <w:p w14:paraId="31149EFA" w14:textId="7311A8DB" w:rsidR="00F224D3" w:rsidRDefault="00F224D3" w:rsidP="00F224D3">
      <w:bookmarkStart w:id="21" w:name="_Toc16081233"/>
      <w:bookmarkStart w:id="22" w:name="_Toc16081274"/>
      <w:bookmarkStart w:id="23" w:name="_Toc16081333"/>
      <w:bookmarkStart w:id="24" w:name="_Toc16081366"/>
      <w:bookmarkStart w:id="25" w:name="_Toc16081380"/>
      <w:bookmarkStart w:id="26" w:name="_Toc16081426"/>
      <w:bookmarkStart w:id="27" w:name="_Toc16081486"/>
      <w:bookmarkStart w:id="28" w:name="_Toc16081234"/>
      <w:bookmarkStart w:id="29" w:name="_Toc16081275"/>
      <w:bookmarkStart w:id="30" w:name="_Toc16081334"/>
      <w:bookmarkStart w:id="31" w:name="_Toc16081367"/>
      <w:bookmarkStart w:id="32" w:name="_Toc16081381"/>
      <w:bookmarkStart w:id="33" w:name="_Toc16081427"/>
      <w:bookmarkStart w:id="34" w:name="_Toc16081487"/>
      <w:bookmarkStart w:id="35" w:name="_Toc16081235"/>
      <w:bookmarkStart w:id="36" w:name="_Toc16081276"/>
      <w:bookmarkStart w:id="37" w:name="_Toc16081335"/>
      <w:bookmarkStart w:id="38" w:name="_Toc16081368"/>
      <w:bookmarkStart w:id="39" w:name="_Toc16081382"/>
      <w:bookmarkStart w:id="40" w:name="_Toc16081428"/>
      <w:bookmarkStart w:id="41" w:name="_Toc16081488"/>
      <w:bookmarkStart w:id="42" w:name="_Toc16081236"/>
      <w:bookmarkStart w:id="43" w:name="_Toc16081277"/>
      <w:bookmarkStart w:id="44" w:name="_Toc16081336"/>
      <w:bookmarkStart w:id="45" w:name="_Toc16081369"/>
      <w:bookmarkStart w:id="46" w:name="_Toc16081383"/>
      <w:bookmarkStart w:id="47" w:name="_Toc16081429"/>
      <w:bookmarkStart w:id="48" w:name="_Toc16081489"/>
      <w:bookmarkStart w:id="49" w:name="_Toc16081237"/>
      <w:bookmarkStart w:id="50" w:name="_Toc16081278"/>
      <w:bookmarkStart w:id="51" w:name="_Toc16081337"/>
      <w:bookmarkStart w:id="52" w:name="_Toc16081370"/>
      <w:bookmarkStart w:id="53" w:name="_Toc16081384"/>
      <w:bookmarkStart w:id="54" w:name="_Toc16081430"/>
      <w:bookmarkStart w:id="55" w:name="_Toc16081490"/>
      <w:bookmarkStart w:id="56" w:name="_Toc16081238"/>
      <w:bookmarkStart w:id="57" w:name="_Toc16081279"/>
      <w:bookmarkStart w:id="58" w:name="_Toc16081338"/>
      <w:bookmarkStart w:id="59" w:name="_Toc16081371"/>
      <w:bookmarkStart w:id="60" w:name="_Toc16081385"/>
      <w:bookmarkStart w:id="61" w:name="_Toc16081431"/>
      <w:bookmarkStart w:id="62" w:name="_Toc16081491"/>
      <w:bookmarkStart w:id="63" w:name="_Toc16081339"/>
      <w:bookmarkStart w:id="64" w:name="_Toc16081372"/>
      <w:bookmarkStart w:id="65" w:name="_Toc16081386"/>
      <w:bookmarkStart w:id="66" w:name="_Toc16081432"/>
      <w:bookmarkStart w:id="67" w:name="_Toc16081492"/>
      <w:bookmarkStart w:id="68" w:name="_Toc16081340"/>
      <w:bookmarkEnd w:id="8"/>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t>For SL RSRP report, the situation is a bit different since RSRP measurement is less time sen</w:t>
      </w:r>
      <w:r w:rsidR="003779ED">
        <w:t>si</w:t>
      </w:r>
      <w:r>
        <w:t>tive and RSRP report is traditionally transm</w:t>
      </w:r>
      <w:r w:rsidR="003779ED">
        <w:t>i</w:t>
      </w:r>
      <w:r>
        <w:t xml:space="preserve">tted via RRC message in NR </w:t>
      </w:r>
      <w:proofErr w:type="spellStart"/>
      <w:r>
        <w:t>Uu</w:t>
      </w:r>
      <w:proofErr w:type="spellEnd"/>
      <w:r>
        <w:t xml:space="preserve">. Thus, it is suggested to follow the same principle as in </w:t>
      </w:r>
      <w:proofErr w:type="spellStart"/>
      <w:r>
        <w:t>Uu</w:t>
      </w:r>
      <w:proofErr w:type="spellEnd"/>
      <w:r>
        <w:t xml:space="preserve"> </w:t>
      </w:r>
      <w:r w:rsidR="00432E95">
        <w:t xml:space="preserve">which </w:t>
      </w:r>
      <w:r>
        <w:t>use</w:t>
      </w:r>
      <w:r w:rsidR="00432E95">
        <w:t>s</w:t>
      </w:r>
      <w:r>
        <w:t xml:space="preserve"> PC5-RRC </w:t>
      </w:r>
      <w:proofErr w:type="spellStart"/>
      <w:r>
        <w:t>signaling</w:t>
      </w:r>
      <w:proofErr w:type="spellEnd"/>
      <w:r>
        <w:t xml:space="preserve"> to carry RSRP report.</w:t>
      </w:r>
    </w:p>
    <w:p w14:paraId="41D9151E" w14:textId="6338B492" w:rsidR="00F224D3" w:rsidRDefault="00F224D3" w:rsidP="00F224D3">
      <w:pPr>
        <w:pStyle w:val="Proposal"/>
      </w:pPr>
      <w:bookmarkStart w:id="69" w:name="_Toc24015431"/>
      <w:r>
        <w:t xml:space="preserve">RAN2 considers PC5-RRC </w:t>
      </w:r>
      <w:proofErr w:type="spellStart"/>
      <w:r>
        <w:t>signaling</w:t>
      </w:r>
      <w:proofErr w:type="spellEnd"/>
      <w:r>
        <w:t xml:space="preserve"> to carry RSRP report over SL.</w:t>
      </w:r>
      <w:bookmarkEnd w:id="69"/>
    </w:p>
    <w:p w14:paraId="28B514BC" w14:textId="0022A495" w:rsidR="00AF78BC" w:rsidRDefault="00F224D3" w:rsidP="00F224D3">
      <w:r>
        <w:t xml:space="preserve">Regarding whether/how SL RSRP report is triggered, in our view, it can be left to </w:t>
      </w:r>
      <w:r w:rsidR="00AF78BC">
        <w:t>TX UE</w:t>
      </w:r>
      <w:r w:rsidR="00AF78BC">
        <w:rPr>
          <w:lang w:val="en-US"/>
        </w:rPr>
        <w:t>’s decision.</w:t>
      </w:r>
      <w:r w:rsidR="00AF78BC">
        <w:t xml:space="preserve"> TX UE may trigger the RSRP report for its own use e.g. transmission power control. </w:t>
      </w:r>
      <w:r w:rsidR="006279E8">
        <w:t>Besides</w:t>
      </w:r>
      <w:r w:rsidR="00AF78BC">
        <w:t>, TX UE</w:t>
      </w:r>
      <w:r w:rsidR="006279E8">
        <w:t xml:space="preserve"> may also</w:t>
      </w:r>
      <w:r w:rsidR="00AF78BC">
        <w:t xml:space="preserve"> trigger a new RSRP report when the</w:t>
      </w:r>
      <w:r w:rsidR="006279E8">
        <w:t xml:space="preserve"> power of the RS used for RSRP measurement changes too much. </w:t>
      </w:r>
    </w:p>
    <w:p w14:paraId="6EB5A91C" w14:textId="048144F3" w:rsidR="006279E8" w:rsidRDefault="006279E8" w:rsidP="006279E8">
      <w:pPr>
        <w:pStyle w:val="Proposal"/>
      </w:pPr>
      <w:bookmarkStart w:id="70" w:name="_Toc24015432"/>
      <w:bookmarkStart w:id="71" w:name="_Toc24015433"/>
      <w:bookmarkEnd w:id="70"/>
      <w:r>
        <w:t>RAN2 defines a TX UE triggered SL RSRP report procedure. If PC5-RRC is used to carry RSRP report, the triggering message is also sent via PR5-RRC.</w:t>
      </w:r>
      <w:bookmarkEnd w:id="71"/>
    </w:p>
    <w:p w14:paraId="6E3EC8FC" w14:textId="2056C70D" w:rsidR="006279E8" w:rsidRDefault="006279E8" w:rsidP="006279E8">
      <w:pPr>
        <w:pStyle w:val="Proposal"/>
        <w:numPr>
          <w:ilvl w:val="0"/>
          <w:numId w:val="0"/>
        </w:numPr>
        <w:ind w:left="1304" w:hanging="1304"/>
      </w:pPr>
    </w:p>
    <w:p w14:paraId="23D35547" w14:textId="2228AB19" w:rsidR="006279E8" w:rsidRDefault="00D577FB" w:rsidP="001E44B4">
      <w:r w:rsidRPr="00D577FB">
        <w:t>According to RAN1 agreement, RAN2 should also specify triggering condition for RSRP report. However, in our view, it is not always possible without some indications from physical layer. For example, if RSRP report is needed due to power control or due to the power change for RS transmission. </w:t>
      </w:r>
    </w:p>
    <w:p w14:paraId="5C6E2573" w14:textId="79008178" w:rsidR="006279E8" w:rsidRDefault="0070666A" w:rsidP="001E44B4">
      <w:pPr>
        <w:pStyle w:val="Proposal"/>
      </w:pPr>
      <w:bookmarkStart w:id="72" w:name="_Toc24015434"/>
      <w:r w:rsidRPr="0070666A">
        <w:lastRenderedPageBreak/>
        <w:t xml:space="preserve">The RSRP report triggering condition </w:t>
      </w:r>
      <w:r>
        <w:t xml:space="preserve">may </w:t>
      </w:r>
      <w:r w:rsidRPr="0070666A">
        <w:t xml:space="preserve">make use of indications from physical layer. </w:t>
      </w:r>
      <w:bookmarkEnd w:id="72"/>
      <w:r w:rsidR="006279E8">
        <w:t xml:space="preserve"> </w:t>
      </w:r>
    </w:p>
    <w:p w14:paraId="7408BF5F" w14:textId="63AF224D" w:rsidR="00DC40C9" w:rsidRPr="00F06B88" w:rsidRDefault="00DC40C9" w:rsidP="0009447B">
      <w:pPr>
        <w:pStyle w:val="Heading2"/>
        <w:tabs>
          <w:tab w:val="clear" w:pos="2466"/>
        </w:tabs>
        <w:ind w:hanging="2466"/>
      </w:pPr>
      <w:r>
        <w:t>Cell reselection</w:t>
      </w:r>
    </w:p>
    <w:p w14:paraId="6D4DD4FB" w14:textId="3E00B437" w:rsidR="00DC40C9" w:rsidRPr="001B21D7" w:rsidRDefault="00DC40C9" w:rsidP="00DC40C9">
      <w:pPr>
        <w:pStyle w:val="BodyText"/>
      </w:pPr>
      <w:r w:rsidRPr="001B21D7">
        <w:t>In RAN2#</w:t>
      </w:r>
      <w:r w:rsidR="00625AA1">
        <w:t>107</w:t>
      </w:r>
      <w:r w:rsidRPr="001B21D7">
        <w:t xml:space="preserve">, cell (re)selection in NR V2X </w:t>
      </w:r>
      <w:proofErr w:type="spellStart"/>
      <w:r w:rsidRPr="001B21D7">
        <w:t>sidelink</w:t>
      </w:r>
      <w:proofErr w:type="spellEnd"/>
      <w:r w:rsidRPr="001B21D7">
        <w:t xml:space="preserve"> communication was discussed. The following agreement was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40C9" w:rsidRPr="001B21D7" w14:paraId="4C6F915C" w14:textId="77777777" w:rsidTr="00CE1F60">
        <w:tc>
          <w:tcPr>
            <w:tcW w:w="9629" w:type="dxa"/>
            <w:shd w:val="clear" w:color="auto" w:fill="auto"/>
          </w:tcPr>
          <w:p w14:paraId="5DF08DAE" w14:textId="50DA675D" w:rsidR="00DC40C9" w:rsidRPr="00E829E0" w:rsidRDefault="00E829E0" w:rsidP="00CE1F60">
            <w:pPr>
              <w:pStyle w:val="BodyText"/>
              <w:rPr>
                <w:b/>
              </w:rPr>
            </w:pPr>
            <w:r w:rsidRPr="00E829E0">
              <w:rPr>
                <w:b/>
                <w:highlight w:val="green"/>
              </w:rPr>
              <w:t xml:space="preserve">RAN2#107 </w:t>
            </w:r>
            <w:r w:rsidR="00DC40C9" w:rsidRPr="00E829E0">
              <w:rPr>
                <w:b/>
                <w:highlight w:val="green"/>
              </w:rPr>
              <w:t>Agreements:</w:t>
            </w:r>
          </w:p>
          <w:p w14:paraId="66CC11FE" w14:textId="77777777" w:rsidR="00625AA1" w:rsidRDefault="00625AA1" w:rsidP="00625AA1">
            <w:r>
              <w:t>6:</w:t>
            </w:r>
            <w:r>
              <w:tab/>
              <w:t>The carrier only providing the anchor carrier configuration should not be prioritized for V2X service during cell reselection.</w:t>
            </w:r>
          </w:p>
          <w:p w14:paraId="3DDB3396" w14:textId="77777777" w:rsidR="00625AA1" w:rsidRDefault="00625AA1" w:rsidP="00625AA1">
            <w:r>
              <w:t>7:</w:t>
            </w:r>
            <w:r>
              <w:tab/>
              <w:t xml:space="preserve">The cell reselection prioritization rule for the UE camped in LTE </w:t>
            </w:r>
            <w:proofErr w:type="spellStart"/>
            <w:r>
              <w:t>Uu</w:t>
            </w:r>
            <w:proofErr w:type="spellEnd"/>
            <w:r>
              <w:t xml:space="preserve"> should be captured in TS 36.304. The cell reselection prioritization rule for the UE camped in NR </w:t>
            </w:r>
            <w:proofErr w:type="spellStart"/>
            <w:r>
              <w:t>Uu</w:t>
            </w:r>
            <w:proofErr w:type="spellEnd"/>
            <w:r>
              <w:t xml:space="preserve"> should be captured in TS 38.304.</w:t>
            </w:r>
          </w:p>
          <w:p w14:paraId="1D56D411" w14:textId="77777777" w:rsidR="00625AA1" w:rsidRDefault="00625AA1" w:rsidP="00625AA1">
            <w:r>
              <w:t>8:</w:t>
            </w:r>
            <w:r>
              <w:tab/>
              <w:t>When V2X UE performs cell reselection, for the carriers providing the intra-carrier and inter-carrier SL configuration there is no differentiation in cell reselection.</w:t>
            </w:r>
          </w:p>
          <w:p w14:paraId="27124A19" w14:textId="77777777" w:rsidR="00625AA1" w:rsidRDefault="00625AA1" w:rsidP="00625AA1">
            <w:r>
              <w:t>9:</w:t>
            </w:r>
            <w:r>
              <w:tab/>
            </w:r>
            <w:r w:rsidRPr="00625AA1">
              <w:rPr>
                <w:highlight w:val="yellow"/>
              </w:rPr>
              <w:t>When V2X UE performs cell reselection, the carrier providing both NR and LTE SL may be prioritized than the carrier only providing NR or LTE SL if the UE is configured by upper layer to perform SL communication for both LTE V2X service and NR V2X service. If the UE is configured by upper layer to perform only NR V2X, the carrier providing NR V2X may be prioritized.</w:t>
            </w:r>
          </w:p>
          <w:p w14:paraId="03B16439" w14:textId="77777777" w:rsidR="00625AA1" w:rsidRDefault="00625AA1" w:rsidP="00625AA1">
            <w:r>
              <w:t>10:</w:t>
            </w:r>
            <w:r>
              <w:tab/>
              <w:t>If more than one carrier has the highest priority, the prioritization among them is left to UE implementation.</w:t>
            </w:r>
          </w:p>
          <w:p w14:paraId="707826A6" w14:textId="758ABEF1" w:rsidR="00DC40C9" w:rsidRPr="001B21D7" w:rsidRDefault="00DC40C9" w:rsidP="00CE1F60">
            <w:pPr>
              <w:pStyle w:val="BodyText"/>
            </w:pPr>
          </w:p>
        </w:tc>
      </w:tr>
    </w:tbl>
    <w:p w14:paraId="6F28555A" w14:textId="77777777" w:rsidR="00DC40C9" w:rsidRDefault="00DC40C9" w:rsidP="00DC40C9">
      <w:pPr>
        <w:pStyle w:val="BodyText"/>
      </w:pPr>
    </w:p>
    <w:p w14:paraId="2C2F3284" w14:textId="77777777" w:rsidR="00DC40C9" w:rsidRDefault="00DC40C9" w:rsidP="00DC40C9">
      <w:pPr>
        <w:pStyle w:val="BodyText"/>
      </w:pPr>
      <w:r w:rsidRPr="001B21D7">
        <w:t xml:space="preserve">In LTE Rel.14, The IE SL-AnchorCarrierFreqList-V2X specifies the </w:t>
      </w:r>
      <w:proofErr w:type="spellStart"/>
      <w:r w:rsidRPr="001B21D7">
        <w:t>sidelink</w:t>
      </w:r>
      <w:proofErr w:type="spellEnd"/>
      <w:r w:rsidRPr="001B21D7">
        <w:t xml:space="preserve"> V2X anchor frequencies i.e. frequencies that include inter-carrier resource configuration for V2X </w:t>
      </w:r>
      <w:proofErr w:type="spellStart"/>
      <w:r w:rsidRPr="001B21D7">
        <w:t>sidelink</w:t>
      </w:r>
      <w:proofErr w:type="spellEnd"/>
      <w:r w:rsidRPr="001B21D7">
        <w:t xml:space="preserve"> communication. This can be extended to also provide the </w:t>
      </w:r>
      <w:proofErr w:type="spellStart"/>
      <w:r w:rsidRPr="001B21D7">
        <w:t>sidelink</w:t>
      </w:r>
      <w:proofErr w:type="spellEnd"/>
      <w:r w:rsidRPr="001B21D7">
        <w:t xml:space="preserve"> V2X anchor frequencies in different RAT</w:t>
      </w:r>
      <w:r>
        <w:t>.</w:t>
      </w:r>
    </w:p>
    <w:p w14:paraId="29B1B324" w14:textId="77777777" w:rsidR="00DC40C9" w:rsidRDefault="00DC40C9" w:rsidP="00DC40C9">
      <w:pPr>
        <w:pStyle w:val="Observation"/>
        <w:overflowPunct/>
        <w:autoSpaceDE/>
        <w:autoSpaceDN/>
        <w:adjustRightInd/>
        <w:spacing w:line="259" w:lineRule="auto"/>
        <w:ind w:left="1701" w:hanging="1701"/>
        <w:textAlignment w:val="auto"/>
      </w:pPr>
      <w:bookmarkStart w:id="73" w:name="_Toc16174709"/>
      <w:bookmarkStart w:id="74" w:name="_Toc23954461"/>
      <w:r>
        <w:t xml:space="preserve">In </w:t>
      </w:r>
      <w:r w:rsidRPr="001B21D7">
        <w:t xml:space="preserve">LTE Rel.14, the IE SL-AnchorCarrierFreqList-V2X specifies the </w:t>
      </w:r>
      <w:proofErr w:type="spellStart"/>
      <w:r w:rsidRPr="001B21D7">
        <w:t>sidelink</w:t>
      </w:r>
      <w:proofErr w:type="spellEnd"/>
      <w:r w:rsidRPr="001B21D7">
        <w:t xml:space="preserve"> V2X anchor frequencies that include inter-carrier V2X configurations.</w:t>
      </w:r>
      <w:bookmarkEnd w:id="73"/>
      <w:bookmarkEnd w:id="74"/>
    </w:p>
    <w:p w14:paraId="213246F8" w14:textId="77777777" w:rsidR="00DC40C9" w:rsidRDefault="00DC40C9" w:rsidP="00DC40C9">
      <w:pPr>
        <w:pStyle w:val="Proposal"/>
        <w:tabs>
          <w:tab w:val="clear" w:pos="1304"/>
        </w:tabs>
        <w:overflowPunct/>
        <w:autoSpaceDE/>
        <w:autoSpaceDN/>
        <w:adjustRightInd/>
        <w:spacing w:line="259" w:lineRule="auto"/>
        <w:ind w:left="1701" w:hanging="1701"/>
        <w:textAlignment w:val="auto"/>
      </w:pPr>
      <w:bookmarkStart w:id="75" w:name="_Toc16174711"/>
      <w:bookmarkStart w:id="76" w:name="_Toc24015435"/>
      <w:r w:rsidRPr="001B21D7">
        <w:rPr>
          <w:i/>
          <w:iCs/>
        </w:rPr>
        <w:t>SL-AnchorCarrierFreqList-V2X</w:t>
      </w:r>
      <w:r w:rsidRPr="001B21D7">
        <w:t xml:space="preserve"> can be extended to also provide the </w:t>
      </w:r>
      <w:proofErr w:type="spellStart"/>
      <w:r w:rsidRPr="001B21D7">
        <w:t>sidelink</w:t>
      </w:r>
      <w:proofErr w:type="spellEnd"/>
      <w:r w:rsidRPr="001B21D7">
        <w:t xml:space="preserve"> V2X anchor frequencies in different RAT</w:t>
      </w:r>
      <w:r>
        <w:t>.</w:t>
      </w:r>
      <w:bookmarkEnd w:id="75"/>
      <w:bookmarkEnd w:id="76"/>
    </w:p>
    <w:p w14:paraId="15A59408" w14:textId="7BD9953E" w:rsidR="00DC40C9" w:rsidRDefault="00E829E0" w:rsidP="009B6D0A">
      <w:pPr>
        <w:pStyle w:val="BodyText"/>
      </w:pPr>
      <w:r>
        <w:t>It has been agreed in the last meeting</w:t>
      </w:r>
      <w:r w:rsidR="008B67C7">
        <w:t xml:space="preserve"> that </w:t>
      </w:r>
      <w:r w:rsidR="009B6D0A">
        <w:t xml:space="preserve">the </w:t>
      </w:r>
      <w:r w:rsidR="009B6D0A" w:rsidRPr="009B6D0A">
        <w:t>carrier providing both NR and LTE SL may be prioritized than the carrier only providing NR or LTE SL if the UE is configured by upper layer to perform SL communication for both LTE V2X service and NR V2X service</w:t>
      </w:r>
      <w:r w:rsidR="009B6D0A">
        <w:t>. Another scenario that has not been discussed is when</w:t>
      </w:r>
      <w:r w:rsidR="00DC40C9" w:rsidRPr="001B21D7">
        <w:t xml:space="preserve"> the UE has in the SL buffer both SL traffic to be transmitted on the NR RAT and LTE RAT</w:t>
      </w:r>
      <w:r w:rsidR="009B6D0A">
        <w:t xml:space="preserve"> but there is no carrier providing both NR and LTE SL configuration. </w:t>
      </w:r>
    </w:p>
    <w:p w14:paraId="0C2CB7B9" w14:textId="6600AD7F" w:rsidR="00DC40C9" w:rsidRDefault="009B6D0A" w:rsidP="00DC40C9">
      <w:pPr>
        <w:pStyle w:val="Proposal"/>
        <w:tabs>
          <w:tab w:val="clear" w:pos="1304"/>
        </w:tabs>
        <w:overflowPunct/>
        <w:autoSpaceDE/>
        <w:autoSpaceDN/>
        <w:adjustRightInd/>
        <w:spacing w:line="259" w:lineRule="auto"/>
        <w:ind w:left="1701" w:hanging="1701"/>
        <w:textAlignment w:val="auto"/>
      </w:pPr>
      <w:bookmarkStart w:id="77" w:name="_Toc16174713"/>
      <w:bookmarkStart w:id="78" w:name="_Toc24015436"/>
      <w:r>
        <w:t xml:space="preserve">For cell reselection, </w:t>
      </w:r>
      <w:r w:rsidR="00E829E0">
        <w:t xml:space="preserve">RAN2 discusses the case that </w:t>
      </w:r>
      <w:r>
        <w:t>when</w:t>
      </w:r>
      <w:r w:rsidRPr="001B21D7">
        <w:t xml:space="preserve"> the UE has in the SL buffer both SL traffic to be transmitted on the NR RAT and LTE RAT</w:t>
      </w:r>
      <w:r>
        <w:t xml:space="preserve"> but there is no carrier providing both NR and LTE SL configuration</w:t>
      </w:r>
      <w:r w:rsidR="00DC40C9">
        <w:t>.</w:t>
      </w:r>
      <w:bookmarkEnd w:id="77"/>
      <w:bookmarkEnd w:id="78"/>
    </w:p>
    <w:p w14:paraId="271286D9" w14:textId="77777777" w:rsidR="00EC6ACA" w:rsidRDefault="00EC6ACA" w:rsidP="00EC6ACA">
      <w:pPr>
        <w:pStyle w:val="Proposal"/>
        <w:numPr>
          <w:ilvl w:val="0"/>
          <w:numId w:val="0"/>
        </w:numPr>
        <w:ind w:left="1304" w:hanging="1304"/>
      </w:pPr>
    </w:p>
    <w:p w14:paraId="15BF5464" w14:textId="77777777" w:rsidR="00DC40C9" w:rsidRPr="00CE0424" w:rsidRDefault="00DC40C9" w:rsidP="00DC40C9">
      <w:pPr>
        <w:pStyle w:val="Heading1"/>
      </w:pPr>
      <w:bookmarkStart w:id="79" w:name="_Toc458380516"/>
      <w:bookmarkStart w:id="80" w:name="_Toc458380524"/>
      <w:bookmarkEnd w:id="4"/>
      <w:bookmarkEnd w:id="6"/>
      <w:bookmarkEnd w:id="79"/>
      <w:bookmarkEnd w:id="80"/>
      <w:r w:rsidRPr="00CE0424">
        <w:t>Conclusion</w:t>
      </w:r>
    </w:p>
    <w:p w14:paraId="68152AA9" w14:textId="77777777" w:rsidR="00DC40C9" w:rsidRDefault="00DC40C9" w:rsidP="00DC40C9">
      <w:bookmarkStart w:id="81" w:name="_In-sequence_SDU_delivery"/>
      <w:bookmarkStart w:id="82" w:name="_Hlk16703546"/>
      <w:bookmarkEnd w:id="81"/>
      <w:r w:rsidRPr="00D1024A">
        <w:t xml:space="preserve">In section </w:t>
      </w:r>
      <w:r>
        <w:fldChar w:fldCharType="begin"/>
      </w:r>
      <w:r>
        <w:instrText xml:space="preserve"> REF _Ref489281230 \r \h </w:instrText>
      </w:r>
      <w:r>
        <w:fldChar w:fldCharType="separate"/>
      </w:r>
      <w:r>
        <w:t>2</w:t>
      </w:r>
      <w:r>
        <w:fldChar w:fldCharType="end"/>
      </w:r>
      <w:r w:rsidRPr="00D1024A">
        <w:t xml:space="preserve"> we made the following observations:</w:t>
      </w:r>
    </w:p>
    <w:p w14:paraId="6BC4C60E" w14:textId="77777777" w:rsidR="00367220" w:rsidRPr="003779ED" w:rsidRDefault="00DC40C9">
      <w:pPr>
        <w:pStyle w:val="TableofFigures"/>
        <w:tabs>
          <w:tab w:val="right" w:leader="dot" w:pos="9629"/>
        </w:tabs>
        <w:rPr>
          <w:rFonts w:ascii="Calibri" w:eastAsia="DengXian" w:hAnsi="Calibri"/>
          <w:b w:val="0"/>
          <w:sz w:val="22"/>
          <w:szCs w:val="22"/>
        </w:rPr>
      </w:pPr>
      <w:r>
        <w:fldChar w:fldCharType="begin"/>
      </w:r>
      <w:r>
        <w:instrText xml:space="preserve"> TOC \n \h \z \t "Observation" \c </w:instrText>
      </w:r>
      <w:r>
        <w:fldChar w:fldCharType="separate"/>
      </w:r>
      <w:hyperlink w:anchor="_Toc23954461" w:history="1">
        <w:r w:rsidR="00367220" w:rsidRPr="008C3CA8">
          <w:rPr>
            <w:rStyle w:val="Hyperlink"/>
            <w:rFonts w:cs="Arial"/>
            <w:noProof/>
          </w:rPr>
          <w:t>Observation 1</w:t>
        </w:r>
        <w:r w:rsidR="00367220" w:rsidRPr="003779ED">
          <w:rPr>
            <w:rFonts w:ascii="Calibri" w:eastAsia="DengXian" w:hAnsi="Calibri"/>
            <w:b w:val="0"/>
            <w:sz w:val="22"/>
            <w:szCs w:val="22"/>
          </w:rPr>
          <w:tab/>
        </w:r>
        <w:r w:rsidR="00367220" w:rsidRPr="008C3CA8">
          <w:rPr>
            <w:rStyle w:val="Hyperlink"/>
            <w:noProof/>
          </w:rPr>
          <w:t>In LTE Rel.14, the IE SL-AnchorCarrierFreqList-V2X specifies the sidelink V2X anchor frequencies that include inter-carrier V2X configurations.</w:t>
        </w:r>
      </w:hyperlink>
    </w:p>
    <w:p w14:paraId="4E505021" w14:textId="02A5646B" w:rsidR="00DC40C9" w:rsidRPr="000720CE" w:rsidRDefault="00DC40C9" w:rsidP="00DC40C9">
      <w:pPr>
        <w:pStyle w:val="TableofFigures"/>
        <w:tabs>
          <w:tab w:val="right" w:leader="dot" w:pos="9629"/>
        </w:tabs>
        <w:rPr>
          <w:rFonts w:cs="Arial"/>
          <w:color w:val="0000FF"/>
          <w:u w:val="single"/>
        </w:rPr>
      </w:pPr>
      <w:r>
        <w:fldChar w:fldCharType="end"/>
      </w:r>
    </w:p>
    <w:p w14:paraId="7A1EE484" w14:textId="77777777" w:rsidR="00DC40C9" w:rsidRDefault="00DC40C9" w:rsidP="00DC40C9">
      <w:r w:rsidRPr="00D1024A">
        <w:t>Bas</w:t>
      </w:r>
      <w:r>
        <w:t xml:space="preserve">ed on the discussion in section </w:t>
      </w:r>
      <w:r>
        <w:fldChar w:fldCharType="begin"/>
      </w:r>
      <w:r>
        <w:instrText xml:space="preserve"> REF _Ref489281230 \r \h </w:instrText>
      </w:r>
      <w:r>
        <w:fldChar w:fldCharType="separate"/>
      </w:r>
      <w:r>
        <w:t>2</w:t>
      </w:r>
      <w:r>
        <w:fldChar w:fldCharType="end"/>
      </w:r>
      <w:r>
        <w:t xml:space="preserve"> </w:t>
      </w:r>
      <w:r w:rsidRPr="00D1024A">
        <w:t>we propose the following:</w:t>
      </w:r>
    </w:p>
    <w:p w14:paraId="4933BF0B" w14:textId="77777777" w:rsidR="00B4207D" w:rsidRPr="00C04D18" w:rsidRDefault="00DC40C9">
      <w:pPr>
        <w:pStyle w:val="TableofFigures"/>
        <w:tabs>
          <w:tab w:val="right" w:leader="dot" w:pos="9629"/>
        </w:tabs>
        <w:rPr>
          <w:rFonts w:ascii="Calibri" w:eastAsia="DengXian" w:hAnsi="Calibr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24015427" w:history="1">
        <w:r w:rsidR="00B4207D" w:rsidRPr="00681BD9">
          <w:rPr>
            <w:rStyle w:val="Hyperlink"/>
            <w:noProof/>
          </w:rPr>
          <w:t>Proposal 1</w:t>
        </w:r>
        <w:r w:rsidR="00B4207D" w:rsidRPr="00C04D18">
          <w:rPr>
            <w:rFonts w:ascii="Calibri" w:eastAsia="DengXian" w:hAnsi="Calibri"/>
            <w:b w:val="0"/>
            <w:noProof/>
            <w:sz w:val="22"/>
            <w:szCs w:val="22"/>
          </w:rPr>
          <w:tab/>
        </w:r>
        <w:r w:rsidR="00B4207D" w:rsidRPr="00681BD9">
          <w:rPr>
            <w:rStyle w:val="Hyperlink"/>
            <w:noProof/>
          </w:rPr>
          <w:t>For NR sidelink, only MAC SDUs belonging to the same communication range group can be multiplexed in to the same MAC PDU. Communication range group is configured or pre-configured by the NW.</w:t>
        </w:r>
      </w:hyperlink>
    </w:p>
    <w:p w14:paraId="6134F125" w14:textId="77777777" w:rsidR="00B4207D" w:rsidRPr="00C04D18" w:rsidRDefault="00B4207D">
      <w:pPr>
        <w:pStyle w:val="TableofFigures"/>
        <w:tabs>
          <w:tab w:val="right" w:leader="dot" w:pos="9629"/>
        </w:tabs>
        <w:rPr>
          <w:rFonts w:ascii="Calibri" w:eastAsia="DengXian" w:hAnsi="Calibri"/>
          <w:b w:val="0"/>
          <w:noProof/>
          <w:sz w:val="22"/>
          <w:szCs w:val="22"/>
        </w:rPr>
      </w:pPr>
      <w:hyperlink w:anchor="_Toc24015428" w:history="1">
        <w:r w:rsidRPr="00681BD9">
          <w:rPr>
            <w:rStyle w:val="Hyperlink"/>
            <w:noProof/>
          </w:rPr>
          <w:t>Proposal 2</w:t>
        </w:r>
        <w:r w:rsidRPr="00C04D18">
          <w:rPr>
            <w:rFonts w:ascii="Calibri" w:eastAsia="DengXian" w:hAnsi="Calibri"/>
            <w:b w:val="0"/>
            <w:noProof/>
            <w:sz w:val="22"/>
            <w:szCs w:val="22"/>
          </w:rPr>
          <w:tab/>
        </w:r>
        <w:r w:rsidRPr="00681BD9">
          <w:rPr>
            <w:rStyle w:val="Hyperlink"/>
            <w:noProof/>
          </w:rPr>
          <w:t>RAN2 considers SL MAC CE to carry CSI report over SL.</w:t>
        </w:r>
      </w:hyperlink>
    </w:p>
    <w:p w14:paraId="471404B6" w14:textId="77777777" w:rsidR="00B4207D" w:rsidRPr="00C04D18" w:rsidRDefault="00B4207D">
      <w:pPr>
        <w:pStyle w:val="TableofFigures"/>
        <w:tabs>
          <w:tab w:val="right" w:leader="dot" w:pos="9629"/>
        </w:tabs>
        <w:rPr>
          <w:rFonts w:ascii="Calibri" w:eastAsia="DengXian" w:hAnsi="Calibri"/>
          <w:b w:val="0"/>
          <w:noProof/>
          <w:sz w:val="22"/>
          <w:szCs w:val="22"/>
        </w:rPr>
      </w:pPr>
      <w:hyperlink w:anchor="_Toc24015429" w:history="1">
        <w:r w:rsidRPr="00681BD9">
          <w:rPr>
            <w:rStyle w:val="Hyperlink"/>
            <w:rFonts w:eastAsia="Arial" w:cs="Arial"/>
            <w:noProof/>
          </w:rPr>
          <w:t>Proposal 3</w:t>
        </w:r>
        <w:r w:rsidRPr="00C04D18">
          <w:rPr>
            <w:rFonts w:ascii="Calibri" w:eastAsia="DengXian" w:hAnsi="Calibri"/>
            <w:b w:val="0"/>
            <w:noProof/>
            <w:sz w:val="22"/>
            <w:szCs w:val="22"/>
          </w:rPr>
          <w:tab/>
        </w:r>
        <w:r w:rsidRPr="00681BD9">
          <w:rPr>
            <w:rStyle w:val="Hyperlink"/>
            <w:rFonts w:eastAsia="Arial" w:cs="Arial"/>
            <w:noProof/>
          </w:rPr>
          <w:t>One specific SL LCID is allocated to the MAC CE carrying SL CSI report.</w:t>
        </w:r>
      </w:hyperlink>
    </w:p>
    <w:p w14:paraId="6605A603" w14:textId="77777777" w:rsidR="00B4207D" w:rsidRPr="00C04D18" w:rsidRDefault="00B4207D">
      <w:pPr>
        <w:pStyle w:val="TableofFigures"/>
        <w:tabs>
          <w:tab w:val="right" w:leader="dot" w:pos="9629"/>
        </w:tabs>
        <w:rPr>
          <w:rFonts w:ascii="Calibri" w:eastAsia="DengXian" w:hAnsi="Calibri"/>
          <w:b w:val="0"/>
          <w:noProof/>
          <w:sz w:val="22"/>
          <w:szCs w:val="22"/>
        </w:rPr>
      </w:pPr>
      <w:hyperlink w:anchor="_Toc24015430" w:history="1">
        <w:r w:rsidRPr="00681BD9">
          <w:rPr>
            <w:rStyle w:val="Hyperlink"/>
            <w:rFonts w:eastAsia="Arial" w:cs="Arial"/>
            <w:noProof/>
          </w:rPr>
          <w:t>Proposal 4</w:t>
        </w:r>
        <w:r w:rsidRPr="00C04D18">
          <w:rPr>
            <w:rFonts w:ascii="Calibri" w:eastAsia="DengXian" w:hAnsi="Calibri"/>
            <w:b w:val="0"/>
            <w:noProof/>
            <w:sz w:val="22"/>
            <w:szCs w:val="22"/>
          </w:rPr>
          <w:tab/>
        </w:r>
        <w:r w:rsidRPr="00681BD9">
          <w:rPr>
            <w:rStyle w:val="Hyperlink"/>
            <w:rFonts w:eastAsia="Arial"/>
            <w:noProof/>
          </w:rPr>
          <w:t>RAN2 discusses the prioritization between SL CSI report MAC CE and SL data traffic.</w:t>
        </w:r>
      </w:hyperlink>
    </w:p>
    <w:p w14:paraId="01BEB083" w14:textId="77777777" w:rsidR="00B4207D" w:rsidRPr="00C04D18" w:rsidRDefault="00B4207D">
      <w:pPr>
        <w:pStyle w:val="TableofFigures"/>
        <w:tabs>
          <w:tab w:val="right" w:leader="dot" w:pos="9629"/>
        </w:tabs>
        <w:rPr>
          <w:rFonts w:ascii="Calibri" w:eastAsia="DengXian" w:hAnsi="Calibri"/>
          <w:b w:val="0"/>
          <w:noProof/>
          <w:sz w:val="22"/>
          <w:szCs w:val="22"/>
        </w:rPr>
      </w:pPr>
      <w:hyperlink w:anchor="_Toc24015431" w:history="1">
        <w:r w:rsidRPr="00681BD9">
          <w:rPr>
            <w:rStyle w:val="Hyperlink"/>
            <w:noProof/>
          </w:rPr>
          <w:t>Proposal 5</w:t>
        </w:r>
        <w:r w:rsidRPr="00C04D18">
          <w:rPr>
            <w:rFonts w:ascii="Calibri" w:eastAsia="DengXian" w:hAnsi="Calibri"/>
            <w:b w:val="0"/>
            <w:noProof/>
            <w:sz w:val="22"/>
            <w:szCs w:val="22"/>
          </w:rPr>
          <w:tab/>
        </w:r>
        <w:r w:rsidRPr="00681BD9">
          <w:rPr>
            <w:rStyle w:val="Hyperlink"/>
            <w:noProof/>
          </w:rPr>
          <w:t>RAN2 considers PC5-RRC signaling to carry RSRP report over SL.</w:t>
        </w:r>
      </w:hyperlink>
    </w:p>
    <w:p w14:paraId="0B8648E4" w14:textId="77777777" w:rsidR="00B4207D" w:rsidRPr="00C04D18" w:rsidRDefault="00B4207D">
      <w:pPr>
        <w:pStyle w:val="TableofFigures"/>
        <w:tabs>
          <w:tab w:val="right" w:leader="dot" w:pos="9629"/>
        </w:tabs>
        <w:rPr>
          <w:rFonts w:ascii="Calibri" w:eastAsia="DengXian" w:hAnsi="Calibri"/>
          <w:b w:val="0"/>
          <w:noProof/>
          <w:sz w:val="22"/>
          <w:szCs w:val="22"/>
        </w:rPr>
      </w:pPr>
      <w:hyperlink w:anchor="_Toc24015433" w:history="1">
        <w:r w:rsidRPr="00681BD9">
          <w:rPr>
            <w:rStyle w:val="Hyperlink"/>
            <w:noProof/>
          </w:rPr>
          <w:t>Proposal 6</w:t>
        </w:r>
        <w:r w:rsidRPr="00C04D18">
          <w:rPr>
            <w:rFonts w:ascii="Calibri" w:eastAsia="DengXian" w:hAnsi="Calibri"/>
            <w:b w:val="0"/>
            <w:noProof/>
            <w:sz w:val="22"/>
            <w:szCs w:val="22"/>
          </w:rPr>
          <w:tab/>
        </w:r>
        <w:r w:rsidRPr="00681BD9">
          <w:rPr>
            <w:rStyle w:val="Hyperlink"/>
            <w:noProof/>
          </w:rPr>
          <w:t>RAN2 defines a TX UE triggered SL RSRP report procedure. If PC5-RRC is used to carry RSRP report, the triggering message is also sent via PR5-RRC.</w:t>
        </w:r>
      </w:hyperlink>
    </w:p>
    <w:p w14:paraId="39A70841" w14:textId="77777777" w:rsidR="00B4207D" w:rsidRPr="00C04D18" w:rsidRDefault="00B4207D">
      <w:pPr>
        <w:pStyle w:val="TableofFigures"/>
        <w:tabs>
          <w:tab w:val="right" w:leader="dot" w:pos="9629"/>
        </w:tabs>
        <w:rPr>
          <w:rFonts w:ascii="Calibri" w:eastAsia="DengXian" w:hAnsi="Calibri"/>
          <w:b w:val="0"/>
          <w:noProof/>
          <w:sz w:val="22"/>
          <w:szCs w:val="22"/>
        </w:rPr>
      </w:pPr>
      <w:hyperlink w:anchor="_Toc24015434" w:history="1">
        <w:r w:rsidRPr="00681BD9">
          <w:rPr>
            <w:rStyle w:val="Hyperlink"/>
            <w:noProof/>
          </w:rPr>
          <w:t>Proposal 7</w:t>
        </w:r>
        <w:r w:rsidRPr="00C04D18">
          <w:rPr>
            <w:rFonts w:ascii="Calibri" w:eastAsia="DengXian" w:hAnsi="Calibri"/>
            <w:b w:val="0"/>
            <w:noProof/>
            <w:sz w:val="22"/>
            <w:szCs w:val="22"/>
          </w:rPr>
          <w:tab/>
        </w:r>
        <w:r w:rsidRPr="00681BD9">
          <w:rPr>
            <w:rStyle w:val="Hyperlink"/>
            <w:noProof/>
          </w:rPr>
          <w:t>The RSRP report triggering condition relies on indication from physical layer. Otherwise, it is left to UE implementation.</w:t>
        </w:r>
      </w:hyperlink>
    </w:p>
    <w:p w14:paraId="57F483A3" w14:textId="77777777" w:rsidR="00B4207D" w:rsidRPr="00C04D18" w:rsidRDefault="00B4207D">
      <w:pPr>
        <w:pStyle w:val="TableofFigures"/>
        <w:tabs>
          <w:tab w:val="right" w:leader="dot" w:pos="9629"/>
        </w:tabs>
        <w:rPr>
          <w:rFonts w:ascii="Calibri" w:eastAsia="DengXian" w:hAnsi="Calibri"/>
          <w:b w:val="0"/>
          <w:noProof/>
          <w:sz w:val="22"/>
          <w:szCs w:val="22"/>
        </w:rPr>
      </w:pPr>
      <w:hyperlink w:anchor="_Toc24015435" w:history="1">
        <w:r w:rsidRPr="00681BD9">
          <w:rPr>
            <w:rStyle w:val="Hyperlink"/>
            <w:noProof/>
          </w:rPr>
          <w:t>Proposal 8</w:t>
        </w:r>
        <w:r w:rsidRPr="00C04D18">
          <w:rPr>
            <w:rFonts w:ascii="Calibri" w:eastAsia="DengXian" w:hAnsi="Calibri"/>
            <w:b w:val="0"/>
            <w:noProof/>
            <w:sz w:val="22"/>
            <w:szCs w:val="22"/>
          </w:rPr>
          <w:tab/>
        </w:r>
        <w:r w:rsidRPr="00681BD9">
          <w:rPr>
            <w:rStyle w:val="Hyperlink"/>
            <w:i/>
            <w:iCs/>
            <w:noProof/>
          </w:rPr>
          <w:t>SL-AnchorCarrierFreqList-V2X</w:t>
        </w:r>
        <w:r w:rsidRPr="00681BD9">
          <w:rPr>
            <w:rStyle w:val="Hyperlink"/>
            <w:noProof/>
          </w:rPr>
          <w:t xml:space="preserve"> can be extended to also provide the sidelink V2X anchor frequencies in different RAT.</w:t>
        </w:r>
      </w:hyperlink>
    </w:p>
    <w:p w14:paraId="5A6AF38F" w14:textId="77777777" w:rsidR="00B4207D" w:rsidRPr="00C04D18" w:rsidRDefault="00B4207D">
      <w:pPr>
        <w:pStyle w:val="TableofFigures"/>
        <w:tabs>
          <w:tab w:val="right" w:leader="dot" w:pos="9629"/>
        </w:tabs>
        <w:rPr>
          <w:rFonts w:ascii="Calibri" w:eastAsia="DengXian" w:hAnsi="Calibri"/>
          <w:b w:val="0"/>
          <w:noProof/>
          <w:sz w:val="22"/>
          <w:szCs w:val="22"/>
        </w:rPr>
      </w:pPr>
      <w:hyperlink w:anchor="_Toc24015436" w:history="1">
        <w:r w:rsidRPr="00681BD9">
          <w:rPr>
            <w:rStyle w:val="Hyperlink"/>
            <w:noProof/>
          </w:rPr>
          <w:t>Proposal 9</w:t>
        </w:r>
        <w:r w:rsidRPr="00C04D18">
          <w:rPr>
            <w:rFonts w:ascii="Calibri" w:eastAsia="DengXian" w:hAnsi="Calibri"/>
            <w:b w:val="0"/>
            <w:noProof/>
            <w:sz w:val="22"/>
            <w:szCs w:val="22"/>
          </w:rPr>
          <w:tab/>
        </w:r>
        <w:r w:rsidRPr="00681BD9">
          <w:rPr>
            <w:rStyle w:val="Hyperlink"/>
            <w:noProof/>
          </w:rPr>
          <w:t>For cell reselection, RAN2 discusses the case that when the UE has in the SL buffer both SL traffic to be transmitted on the NR RAT and LTE RAT but there is no carrier providing both NR and LTE SL configuration.</w:t>
        </w:r>
      </w:hyperlink>
    </w:p>
    <w:p w14:paraId="0C0ED66D" w14:textId="534D91E9" w:rsidR="00DC40C9" w:rsidRPr="00481B8F" w:rsidRDefault="00DC40C9" w:rsidP="00481B8F">
      <w:pPr>
        <w:rPr>
          <w:rFonts w:cs="Arial"/>
        </w:rPr>
      </w:pPr>
      <w:r>
        <w:rPr>
          <w:b/>
          <w:bCs/>
        </w:rPr>
        <w:fldChar w:fldCharType="end"/>
      </w:r>
      <w:bookmarkEnd w:id="82"/>
    </w:p>
    <w:p w14:paraId="4C5A2721" w14:textId="77777777" w:rsidR="00DC40C9" w:rsidRPr="00CE0424" w:rsidRDefault="00DC40C9" w:rsidP="00DC40C9">
      <w:pPr>
        <w:pStyle w:val="Heading1"/>
      </w:pPr>
      <w:r w:rsidRPr="00CE0424">
        <w:t>References</w:t>
      </w:r>
    </w:p>
    <w:p w14:paraId="1C81781F" w14:textId="77777777" w:rsidR="00DC40C9" w:rsidRPr="000720CE" w:rsidRDefault="00DC40C9" w:rsidP="00DC40C9">
      <w:pPr>
        <w:spacing w:after="0"/>
      </w:pPr>
    </w:p>
    <w:p w14:paraId="214D0323" w14:textId="77777777" w:rsidR="00DC40C9" w:rsidRPr="00DC40C9" w:rsidRDefault="00DC40C9">
      <w:pPr>
        <w:overflowPunct/>
        <w:autoSpaceDE/>
        <w:autoSpaceDN/>
        <w:adjustRightInd/>
        <w:spacing w:after="0"/>
        <w:jc w:val="left"/>
        <w:textAlignment w:val="auto"/>
        <w:rPr>
          <w:rFonts w:ascii="CG Times (WN)" w:eastAsia="DengXian" w:hAnsi="CG Times (WN)"/>
        </w:rPr>
      </w:pPr>
    </w:p>
    <w:sectPr w:rsidR="00DC40C9" w:rsidRPr="00DC40C9">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755F2" w14:textId="77777777" w:rsidR="00C04D18" w:rsidRDefault="00C04D18">
      <w:r>
        <w:separator/>
      </w:r>
    </w:p>
  </w:endnote>
  <w:endnote w:type="continuationSeparator" w:id="0">
    <w:p w14:paraId="3BD7A892" w14:textId="77777777" w:rsidR="00C04D18" w:rsidRDefault="00C04D18">
      <w:r>
        <w:continuationSeparator/>
      </w:r>
    </w:p>
  </w:endnote>
  <w:endnote w:type="continuationNotice" w:id="1">
    <w:p w14:paraId="298C65DE" w14:textId="77777777" w:rsidR="00C04D18" w:rsidRDefault="00C04D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691F" w14:textId="77777777" w:rsidR="00E96059" w:rsidRDefault="00E9605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5D879" w14:textId="77777777" w:rsidR="00C04D18" w:rsidRDefault="00C04D18">
      <w:r>
        <w:separator/>
      </w:r>
    </w:p>
  </w:footnote>
  <w:footnote w:type="continuationSeparator" w:id="0">
    <w:p w14:paraId="2C9926A5" w14:textId="77777777" w:rsidR="00C04D18" w:rsidRDefault="00C04D18">
      <w:r>
        <w:continuationSeparator/>
      </w:r>
    </w:p>
  </w:footnote>
  <w:footnote w:type="continuationNotice" w:id="1">
    <w:p w14:paraId="785AE512" w14:textId="77777777" w:rsidR="00C04D18" w:rsidRDefault="00C04D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5423" w14:textId="77777777" w:rsidR="00E96059" w:rsidRDefault="00E9605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DAA5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F2ED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466"/>
        </w:tabs>
        <w:ind w:left="24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F7761BC"/>
    <w:multiLevelType w:val="hybridMultilevel"/>
    <w:tmpl w:val="F4BEA492"/>
    <w:lvl w:ilvl="0" w:tplc="09E64224">
      <w:start w:val="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50EB7"/>
    <w:multiLevelType w:val="hybridMultilevel"/>
    <w:tmpl w:val="544C392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EA2652"/>
    <w:multiLevelType w:val="hybridMultilevel"/>
    <w:tmpl w:val="4ED0FA52"/>
    <w:lvl w:ilvl="0" w:tplc="13F26D94">
      <w:numFmt w:val="bullet"/>
      <w:lvlText w:val="-"/>
      <w:lvlJc w:val="left"/>
      <w:pPr>
        <w:ind w:left="720" w:hanging="360"/>
      </w:pPr>
      <w:rPr>
        <w:rFonts w:ascii="Arial" w:eastAsia="Times New Roman"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2F8373AD"/>
    <w:multiLevelType w:val="hybridMultilevel"/>
    <w:tmpl w:val="26B8EB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337BD5"/>
    <w:multiLevelType w:val="hybridMultilevel"/>
    <w:tmpl w:val="B58439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DCEEF8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6"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BE96D73"/>
    <w:multiLevelType w:val="hybridMultilevel"/>
    <w:tmpl w:val="C7E66566"/>
    <w:lvl w:ilvl="0" w:tplc="46A0FA42">
      <w:start w:val="1"/>
      <w:numFmt w:val="decimal"/>
      <w:lvlText w:val="Op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1505E"/>
    <w:multiLevelType w:val="hybridMultilevel"/>
    <w:tmpl w:val="7B0E6620"/>
    <w:lvl w:ilvl="0" w:tplc="31F60CA8">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AB5B49"/>
    <w:multiLevelType w:val="hybridMultilevel"/>
    <w:tmpl w:val="94B445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E97872"/>
    <w:multiLevelType w:val="hybridMultilevel"/>
    <w:tmpl w:val="1B0631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6EB33B1"/>
    <w:multiLevelType w:val="hybridMultilevel"/>
    <w:tmpl w:val="CB5C21FC"/>
    <w:lvl w:ilvl="0" w:tplc="DB608A1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AA5655"/>
    <w:multiLevelType w:val="hybridMultilevel"/>
    <w:tmpl w:val="A104A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5716BB"/>
    <w:multiLevelType w:val="hybridMultilevel"/>
    <w:tmpl w:val="64DE3278"/>
    <w:lvl w:ilvl="0" w:tplc="041D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6D8C6067"/>
    <w:multiLevelType w:val="hybridMultilevel"/>
    <w:tmpl w:val="6F801BAC"/>
    <w:lvl w:ilvl="0" w:tplc="B9126C0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7672525C"/>
    <w:multiLevelType w:val="hybridMultilevel"/>
    <w:tmpl w:val="4F82BA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7706614C"/>
    <w:multiLevelType w:val="hybridMultilevel"/>
    <w:tmpl w:val="D05CD814"/>
    <w:lvl w:ilvl="0" w:tplc="85FED19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32"/>
  </w:num>
  <w:num w:numId="3">
    <w:abstractNumId w:val="23"/>
  </w:num>
  <w:num w:numId="4">
    <w:abstractNumId w:val="24"/>
  </w:num>
  <w:num w:numId="5">
    <w:abstractNumId w:val="20"/>
  </w:num>
  <w:num w:numId="6">
    <w:abstractNumId w:val="28"/>
  </w:num>
  <w:num w:numId="7">
    <w:abstractNumId w:val="41"/>
  </w:num>
  <w:num w:numId="8">
    <w:abstractNumId w:val="21"/>
  </w:num>
  <w:num w:numId="9">
    <w:abstractNumId w:val="34"/>
  </w:num>
  <w:num w:numId="10">
    <w:abstractNumId w:val="51"/>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39"/>
  </w:num>
  <w:num w:numId="17">
    <w:abstractNumId w:val="17"/>
  </w:num>
  <w:num w:numId="18">
    <w:abstractNumId w:val="36"/>
  </w:num>
  <w:num w:numId="19">
    <w:abstractNumId w:val="2"/>
  </w:num>
  <w:num w:numId="20">
    <w:abstractNumId w:val="1"/>
  </w:num>
  <w:num w:numId="21">
    <w:abstractNumId w:val="0"/>
  </w:num>
  <w:num w:numId="22">
    <w:abstractNumId w:val="49"/>
  </w:num>
  <w:num w:numId="23">
    <w:abstractNumId w:val="30"/>
  </w:num>
  <w:num w:numId="24">
    <w:abstractNumId w:val="11"/>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5"/>
  </w:num>
  <w:num w:numId="29">
    <w:abstractNumId w:val="10"/>
  </w:num>
  <w:num w:numId="30">
    <w:abstractNumId w:val="31"/>
  </w:num>
  <w:num w:numId="31">
    <w:abstractNumId w:val="52"/>
  </w:num>
  <w:num w:numId="32">
    <w:abstractNumId w:val="8"/>
  </w:num>
  <w:num w:numId="33">
    <w:abstractNumId w:val="15"/>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7"/>
  </w:num>
  <w:num w:numId="37">
    <w:abstractNumId w:val="42"/>
  </w:num>
  <w:num w:numId="38">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47"/>
  </w:num>
  <w:num w:numId="40">
    <w:abstractNumId w:val="25"/>
  </w:num>
  <w:num w:numId="41">
    <w:abstractNumId w:val="50"/>
  </w:num>
  <w:num w:numId="42">
    <w:abstractNumId w:val="13"/>
  </w:num>
  <w:num w:numId="43">
    <w:abstractNumId w:val="37"/>
  </w:num>
  <w:num w:numId="44">
    <w:abstractNumId w:val="22"/>
  </w:num>
  <w:num w:numId="45">
    <w:abstractNumId w:val="22"/>
  </w:num>
  <w:num w:numId="46">
    <w:abstractNumId w:val="19"/>
  </w:num>
  <w:num w:numId="47">
    <w:abstractNumId w:val="35"/>
  </w:num>
  <w:num w:numId="48">
    <w:abstractNumId w:val="16"/>
  </w:num>
  <w:num w:numId="49">
    <w:abstractNumId w:val="53"/>
  </w:num>
  <w:num w:numId="50">
    <w:abstractNumId w:val="55"/>
  </w:num>
  <w:num w:numId="51">
    <w:abstractNumId w:val="14"/>
  </w:num>
  <w:num w:numId="52">
    <w:abstractNumId w:val="23"/>
  </w:num>
  <w:num w:numId="53">
    <w:abstractNumId w:val="23"/>
  </w:num>
  <w:num w:numId="54">
    <w:abstractNumId w:val="23"/>
  </w:num>
  <w:num w:numId="55">
    <w:abstractNumId w:val="23"/>
  </w:num>
  <w:num w:numId="56">
    <w:abstractNumId w:val="23"/>
  </w:num>
  <w:num w:numId="57">
    <w:abstractNumId w:val="23"/>
  </w:num>
  <w:num w:numId="58">
    <w:abstractNumId w:val="23"/>
  </w:num>
  <w:num w:numId="59">
    <w:abstractNumId w:val="23"/>
  </w:num>
  <w:num w:numId="60">
    <w:abstractNumId w:val="23"/>
  </w:num>
  <w:num w:numId="61">
    <w:abstractNumId w:val="46"/>
  </w:num>
  <w:num w:numId="62">
    <w:abstractNumId w:val="34"/>
  </w:num>
  <w:num w:numId="63">
    <w:abstractNumId w:val="23"/>
  </w:num>
  <w:num w:numId="64">
    <w:abstractNumId w:val="9"/>
  </w:num>
  <w:num w:numId="65">
    <w:abstractNumId w:val="54"/>
  </w:num>
  <w:num w:numId="66">
    <w:abstractNumId w:val="18"/>
  </w:num>
  <w:num w:numId="67">
    <w:abstractNumId w:val="48"/>
  </w:num>
  <w:num w:numId="68">
    <w:abstractNumId w:val="33"/>
  </w:num>
  <w:num w:numId="69">
    <w:abstractNumId w:val="44"/>
  </w:num>
  <w:num w:numId="70">
    <w:abstractNumId w:val="43"/>
  </w:num>
  <w:num w:numId="71">
    <w:abstractNumId w:val="38"/>
  </w:num>
  <w:num w:numId="72">
    <w:abstractNumId w:val="40"/>
  </w:num>
  <w:num w:numId="73">
    <w:abstractNumId w:val="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7C"/>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4E"/>
    <w:rsid w:val="000577EB"/>
    <w:rsid w:val="00060609"/>
    <w:rsid w:val="000616E7"/>
    <w:rsid w:val="00061DE7"/>
    <w:rsid w:val="0006376F"/>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1BCD"/>
    <w:rsid w:val="000924C1"/>
    <w:rsid w:val="000924F0"/>
    <w:rsid w:val="00092961"/>
    <w:rsid w:val="000929F8"/>
    <w:rsid w:val="00092AD1"/>
    <w:rsid w:val="00092B22"/>
    <w:rsid w:val="00093474"/>
    <w:rsid w:val="0009369D"/>
    <w:rsid w:val="00093765"/>
    <w:rsid w:val="00093E44"/>
    <w:rsid w:val="0009447B"/>
    <w:rsid w:val="00094C61"/>
    <w:rsid w:val="0009510F"/>
    <w:rsid w:val="00095578"/>
    <w:rsid w:val="00096A46"/>
    <w:rsid w:val="00096A8F"/>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21381"/>
    <w:rsid w:val="001219F5"/>
    <w:rsid w:val="00121A20"/>
    <w:rsid w:val="0012242C"/>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BF5"/>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5BC"/>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272"/>
    <w:rsid w:val="001942F6"/>
    <w:rsid w:val="00194D41"/>
    <w:rsid w:val="00195794"/>
    <w:rsid w:val="001971AE"/>
    <w:rsid w:val="00197DF9"/>
    <w:rsid w:val="001A1138"/>
    <w:rsid w:val="001A1987"/>
    <w:rsid w:val="001A1D74"/>
    <w:rsid w:val="001A2564"/>
    <w:rsid w:val="001A291A"/>
    <w:rsid w:val="001A2D65"/>
    <w:rsid w:val="001A3DAB"/>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89C"/>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94"/>
    <w:rsid w:val="001E11FD"/>
    <w:rsid w:val="001E263C"/>
    <w:rsid w:val="001E31DF"/>
    <w:rsid w:val="001E3B37"/>
    <w:rsid w:val="001E44B4"/>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395B"/>
    <w:rsid w:val="00214360"/>
    <w:rsid w:val="0021476D"/>
    <w:rsid w:val="00214DA8"/>
    <w:rsid w:val="00215423"/>
    <w:rsid w:val="002158FA"/>
    <w:rsid w:val="00215CE2"/>
    <w:rsid w:val="002161F9"/>
    <w:rsid w:val="00216CAF"/>
    <w:rsid w:val="00217886"/>
    <w:rsid w:val="0022011D"/>
    <w:rsid w:val="00220209"/>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3E50"/>
    <w:rsid w:val="00274522"/>
    <w:rsid w:val="00274E44"/>
    <w:rsid w:val="00275039"/>
    <w:rsid w:val="0027558B"/>
    <w:rsid w:val="00275686"/>
    <w:rsid w:val="00275ADA"/>
    <w:rsid w:val="00276471"/>
    <w:rsid w:val="002769D4"/>
    <w:rsid w:val="00276A61"/>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4CE"/>
    <w:rsid w:val="00362C2A"/>
    <w:rsid w:val="0036301E"/>
    <w:rsid w:val="00363CAE"/>
    <w:rsid w:val="0036431B"/>
    <w:rsid w:val="00364C71"/>
    <w:rsid w:val="003661BF"/>
    <w:rsid w:val="00367220"/>
    <w:rsid w:val="003677D3"/>
    <w:rsid w:val="00370E47"/>
    <w:rsid w:val="00371803"/>
    <w:rsid w:val="00371ADE"/>
    <w:rsid w:val="0037225D"/>
    <w:rsid w:val="00372BD2"/>
    <w:rsid w:val="003742AC"/>
    <w:rsid w:val="00375502"/>
    <w:rsid w:val="0037798C"/>
    <w:rsid w:val="003779ED"/>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225C"/>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344"/>
    <w:rsid w:val="003B7775"/>
    <w:rsid w:val="003B7A6C"/>
    <w:rsid w:val="003B7FE5"/>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34E"/>
    <w:rsid w:val="003D65E9"/>
    <w:rsid w:val="003D69F0"/>
    <w:rsid w:val="003D708C"/>
    <w:rsid w:val="003D772F"/>
    <w:rsid w:val="003D7DE5"/>
    <w:rsid w:val="003E06E3"/>
    <w:rsid w:val="003E15FA"/>
    <w:rsid w:val="003E1FCF"/>
    <w:rsid w:val="003E26FB"/>
    <w:rsid w:val="003E295D"/>
    <w:rsid w:val="003E2FAC"/>
    <w:rsid w:val="003E3257"/>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2E95"/>
    <w:rsid w:val="00433F54"/>
    <w:rsid w:val="004344B6"/>
    <w:rsid w:val="00434686"/>
    <w:rsid w:val="004348DC"/>
    <w:rsid w:val="004357DB"/>
    <w:rsid w:val="00436485"/>
    <w:rsid w:val="00437447"/>
    <w:rsid w:val="00437A98"/>
    <w:rsid w:val="00437E24"/>
    <w:rsid w:val="00441A92"/>
    <w:rsid w:val="004421C0"/>
    <w:rsid w:val="00444F56"/>
    <w:rsid w:val="004457DD"/>
    <w:rsid w:val="00445B3F"/>
    <w:rsid w:val="00446098"/>
    <w:rsid w:val="00446488"/>
    <w:rsid w:val="0044768A"/>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37"/>
    <w:rsid w:val="004671C9"/>
    <w:rsid w:val="0047015C"/>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8F"/>
    <w:rsid w:val="00481BD6"/>
    <w:rsid w:val="00483094"/>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F26"/>
    <w:rsid w:val="00526874"/>
    <w:rsid w:val="00526980"/>
    <w:rsid w:val="00526E69"/>
    <w:rsid w:val="00527590"/>
    <w:rsid w:val="00527DDA"/>
    <w:rsid w:val="00531021"/>
    <w:rsid w:val="0053181B"/>
    <w:rsid w:val="00532AFB"/>
    <w:rsid w:val="005338D0"/>
    <w:rsid w:val="00533929"/>
    <w:rsid w:val="0053396E"/>
    <w:rsid w:val="00534B59"/>
    <w:rsid w:val="0053573E"/>
    <w:rsid w:val="00535D4C"/>
    <w:rsid w:val="00536759"/>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354"/>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0A9"/>
    <w:rsid w:val="005C3C3C"/>
    <w:rsid w:val="005C3C7E"/>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5F7B65"/>
    <w:rsid w:val="00600893"/>
    <w:rsid w:val="006016C1"/>
    <w:rsid w:val="0060170A"/>
    <w:rsid w:val="00601A9E"/>
    <w:rsid w:val="00601C33"/>
    <w:rsid w:val="00601E69"/>
    <w:rsid w:val="00602494"/>
    <w:rsid w:val="0060283C"/>
    <w:rsid w:val="00602888"/>
    <w:rsid w:val="00602CFC"/>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6D08"/>
    <w:rsid w:val="00617E38"/>
    <w:rsid w:val="00620A71"/>
    <w:rsid w:val="00620D80"/>
    <w:rsid w:val="00620FCC"/>
    <w:rsid w:val="00621569"/>
    <w:rsid w:val="006216F9"/>
    <w:rsid w:val="00621958"/>
    <w:rsid w:val="006234A6"/>
    <w:rsid w:val="00623873"/>
    <w:rsid w:val="00623F05"/>
    <w:rsid w:val="0062441B"/>
    <w:rsid w:val="00624D23"/>
    <w:rsid w:val="00625AA1"/>
    <w:rsid w:val="00627548"/>
    <w:rsid w:val="006279E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327"/>
    <w:rsid w:val="00680AEE"/>
    <w:rsid w:val="00681003"/>
    <w:rsid w:val="006817C9"/>
    <w:rsid w:val="0068251C"/>
    <w:rsid w:val="00683446"/>
    <w:rsid w:val="0068348A"/>
    <w:rsid w:val="00683ECE"/>
    <w:rsid w:val="00684D1F"/>
    <w:rsid w:val="0068564C"/>
    <w:rsid w:val="00685BCE"/>
    <w:rsid w:val="00690962"/>
    <w:rsid w:val="00690E1F"/>
    <w:rsid w:val="00691388"/>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B81"/>
    <w:rsid w:val="006B622F"/>
    <w:rsid w:val="006C03B8"/>
    <w:rsid w:val="006C046E"/>
    <w:rsid w:val="006C08BD"/>
    <w:rsid w:val="006C16B6"/>
    <w:rsid w:val="006C1D4F"/>
    <w:rsid w:val="006C289D"/>
    <w:rsid w:val="006C28D7"/>
    <w:rsid w:val="006C3221"/>
    <w:rsid w:val="006C4803"/>
    <w:rsid w:val="006C5485"/>
    <w:rsid w:val="006C5EC9"/>
    <w:rsid w:val="006C6059"/>
    <w:rsid w:val="006C7384"/>
    <w:rsid w:val="006C7522"/>
    <w:rsid w:val="006D1C68"/>
    <w:rsid w:val="006D329A"/>
    <w:rsid w:val="006D4001"/>
    <w:rsid w:val="006D45A0"/>
    <w:rsid w:val="006D50D5"/>
    <w:rsid w:val="006D519C"/>
    <w:rsid w:val="006D56F0"/>
    <w:rsid w:val="006D58DB"/>
    <w:rsid w:val="006D62DF"/>
    <w:rsid w:val="006D6F08"/>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935"/>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7005E9"/>
    <w:rsid w:val="00701870"/>
    <w:rsid w:val="00702080"/>
    <w:rsid w:val="007022D1"/>
    <w:rsid w:val="00702867"/>
    <w:rsid w:val="007033DA"/>
    <w:rsid w:val="0070346E"/>
    <w:rsid w:val="00703D86"/>
    <w:rsid w:val="0070447E"/>
    <w:rsid w:val="00704498"/>
    <w:rsid w:val="00704EDB"/>
    <w:rsid w:val="0070537F"/>
    <w:rsid w:val="00705567"/>
    <w:rsid w:val="00706101"/>
    <w:rsid w:val="0070666A"/>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6121"/>
    <w:rsid w:val="00827A0A"/>
    <w:rsid w:val="00827B7C"/>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47B"/>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0420"/>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67C7"/>
    <w:rsid w:val="008B7B30"/>
    <w:rsid w:val="008B7B5C"/>
    <w:rsid w:val="008B7F0B"/>
    <w:rsid w:val="008C065F"/>
    <w:rsid w:val="008C0C99"/>
    <w:rsid w:val="008C2017"/>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6D0A"/>
    <w:rsid w:val="009B71AB"/>
    <w:rsid w:val="009B7E87"/>
    <w:rsid w:val="009C0CBF"/>
    <w:rsid w:val="009C176D"/>
    <w:rsid w:val="009C2328"/>
    <w:rsid w:val="009C2715"/>
    <w:rsid w:val="009C32B6"/>
    <w:rsid w:val="009C403E"/>
    <w:rsid w:val="009C4C7E"/>
    <w:rsid w:val="009C5165"/>
    <w:rsid w:val="009C69A1"/>
    <w:rsid w:val="009C6AC3"/>
    <w:rsid w:val="009C6B7C"/>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6D1E"/>
    <w:rsid w:val="009E7003"/>
    <w:rsid w:val="009E764D"/>
    <w:rsid w:val="009F0371"/>
    <w:rsid w:val="009F08F3"/>
    <w:rsid w:val="009F25B9"/>
    <w:rsid w:val="009F2C58"/>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97796"/>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5"/>
    <w:rsid w:val="00AB655E"/>
    <w:rsid w:val="00AB6D9E"/>
    <w:rsid w:val="00AB75A5"/>
    <w:rsid w:val="00AC007F"/>
    <w:rsid w:val="00AC09F0"/>
    <w:rsid w:val="00AC10E5"/>
    <w:rsid w:val="00AC119E"/>
    <w:rsid w:val="00AC2C5E"/>
    <w:rsid w:val="00AC2ECD"/>
    <w:rsid w:val="00AC30E1"/>
    <w:rsid w:val="00AC3119"/>
    <w:rsid w:val="00AC343D"/>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2A58"/>
    <w:rsid w:val="00AD3F94"/>
    <w:rsid w:val="00AD4A5A"/>
    <w:rsid w:val="00AD546F"/>
    <w:rsid w:val="00AD5E8C"/>
    <w:rsid w:val="00AD644F"/>
    <w:rsid w:val="00AD7C0A"/>
    <w:rsid w:val="00AE030B"/>
    <w:rsid w:val="00AE0CBF"/>
    <w:rsid w:val="00AE1890"/>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19A"/>
    <w:rsid w:val="00AF78BC"/>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07D"/>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630E"/>
    <w:rsid w:val="00B97EF9"/>
    <w:rsid w:val="00BA10FB"/>
    <w:rsid w:val="00BA1E49"/>
    <w:rsid w:val="00BA2280"/>
    <w:rsid w:val="00BA2A08"/>
    <w:rsid w:val="00BA504B"/>
    <w:rsid w:val="00BA5067"/>
    <w:rsid w:val="00BA56D2"/>
    <w:rsid w:val="00BA65FA"/>
    <w:rsid w:val="00BA6741"/>
    <w:rsid w:val="00BA6F7C"/>
    <w:rsid w:val="00BA76E0"/>
    <w:rsid w:val="00BA7C35"/>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4D18"/>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FE6"/>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1F60"/>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469"/>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631E"/>
    <w:rsid w:val="00D50A9D"/>
    <w:rsid w:val="00D50B30"/>
    <w:rsid w:val="00D50F06"/>
    <w:rsid w:val="00D5121E"/>
    <w:rsid w:val="00D51394"/>
    <w:rsid w:val="00D51E88"/>
    <w:rsid w:val="00D5353A"/>
    <w:rsid w:val="00D546FF"/>
    <w:rsid w:val="00D55231"/>
    <w:rsid w:val="00D55AD5"/>
    <w:rsid w:val="00D56C75"/>
    <w:rsid w:val="00D576CA"/>
    <w:rsid w:val="00D577FB"/>
    <w:rsid w:val="00D603E7"/>
    <w:rsid w:val="00D60E13"/>
    <w:rsid w:val="00D61777"/>
    <w:rsid w:val="00D61AF5"/>
    <w:rsid w:val="00D62469"/>
    <w:rsid w:val="00D62665"/>
    <w:rsid w:val="00D62883"/>
    <w:rsid w:val="00D62CD5"/>
    <w:rsid w:val="00D62E5C"/>
    <w:rsid w:val="00D62EDD"/>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0C9"/>
    <w:rsid w:val="00DC47E4"/>
    <w:rsid w:val="00DC4B28"/>
    <w:rsid w:val="00DC4C21"/>
    <w:rsid w:val="00DC53EF"/>
    <w:rsid w:val="00DC59F6"/>
    <w:rsid w:val="00DC6077"/>
    <w:rsid w:val="00DC6A6A"/>
    <w:rsid w:val="00DC772E"/>
    <w:rsid w:val="00DC7F0F"/>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2C08"/>
    <w:rsid w:val="00DF37A0"/>
    <w:rsid w:val="00DF382B"/>
    <w:rsid w:val="00DF4060"/>
    <w:rsid w:val="00DF4100"/>
    <w:rsid w:val="00DF4A95"/>
    <w:rsid w:val="00DF5DA5"/>
    <w:rsid w:val="00DF5F68"/>
    <w:rsid w:val="00E0060D"/>
    <w:rsid w:val="00E00615"/>
    <w:rsid w:val="00E008C7"/>
    <w:rsid w:val="00E01504"/>
    <w:rsid w:val="00E01726"/>
    <w:rsid w:val="00E01A4F"/>
    <w:rsid w:val="00E0270D"/>
    <w:rsid w:val="00E039EB"/>
    <w:rsid w:val="00E03C32"/>
    <w:rsid w:val="00E06B58"/>
    <w:rsid w:val="00E06D5E"/>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511"/>
    <w:rsid w:val="00E22330"/>
    <w:rsid w:val="00E22B4B"/>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0"/>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059"/>
    <w:rsid w:val="00E9689C"/>
    <w:rsid w:val="00E97228"/>
    <w:rsid w:val="00E9789F"/>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6EA"/>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C7931"/>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07EA8"/>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4D3"/>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2FF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3F1F"/>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 w:val="7D3AC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C3E9"/>
  <w15:chartTrackingRefBased/>
  <w15:docId w15:val="{6A58DC2B-3C93-45A7-8442-65846E90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2C2A"/>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362C2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62C2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62C2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62C2A"/>
    <w:pPr>
      <w:numPr>
        <w:ilvl w:val="3"/>
      </w:numPr>
      <w:outlineLvl w:val="3"/>
    </w:pPr>
    <w:rPr>
      <w:sz w:val="24"/>
      <w:szCs w:val="24"/>
    </w:rPr>
  </w:style>
  <w:style w:type="paragraph" w:styleId="Heading5">
    <w:name w:val="heading 5"/>
    <w:basedOn w:val="Heading4"/>
    <w:next w:val="Normal"/>
    <w:link w:val="Heading5Char"/>
    <w:qFormat/>
    <w:rsid w:val="00362C2A"/>
    <w:pPr>
      <w:numPr>
        <w:ilvl w:val="4"/>
      </w:numPr>
      <w:outlineLvl w:val="4"/>
    </w:pPr>
    <w:rPr>
      <w:sz w:val="22"/>
      <w:szCs w:val="22"/>
    </w:rPr>
  </w:style>
  <w:style w:type="paragraph" w:styleId="Heading6">
    <w:name w:val="heading 6"/>
    <w:basedOn w:val="Normal"/>
    <w:next w:val="Normal"/>
    <w:link w:val="Heading6Char"/>
    <w:qFormat/>
    <w:rsid w:val="00362C2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62C2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62C2A"/>
    <w:pPr>
      <w:numPr>
        <w:ilvl w:val="7"/>
      </w:numPr>
      <w:outlineLvl w:val="7"/>
    </w:pPr>
  </w:style>
  <w:style w:type="paragraph" w:styleId="Heading9">
    <w:name w:val="heading 9"/>
    <w:basedOn w:val="Heading8"/>
    <w:next w:val="Normal"/>
    <w:link w:val="Heading9Char"/>
    <w:qFormat/>
    <w:rsid w:val="00362C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C2A"/>
    <w:pPr>
      <w:spacing w:before="180"/>
      <w:ind w:left="2693" w:hanging="2693"/>
    </w:pPr>
    <w:rPr>
      <w:b w:val="0"/>
      <w:bCs/>
    </w:rPr>
  </w:style>
  <w:style w:type="paragraph" w:styleId="TOC1">
    <w:name w:val="toc 1"/>
    <w:aliases w:val="Observation TOC2"/>
    <w:uiPriority w:val="39"/>
    <w:rsid w:val="00362C2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362C2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62C2A"/>
    <w:pPr>
      <w:spacing w:after="240"/>
      <w:jc w:val="center"/>
    </w:pPr>
    <w:rPr>
      <w:b/>
      <w:bCs/>
    </w:rPr>
  </w:style>
  <w:style w:type="paragraph" w:styleId="TOC5">
    <w:name w:val="toc 5"/>
    <w:aliases w:val="Observation TOC"/>
    <w:basedOn w:val="TOC4"/>
    <w:semiHidden/>
    <w:rsid w:val="00362C2A"/>
    <w:pPr>
      <w:tabs>
        <w:tab w:val="right" w:pos="1701"/>
      </w:tabs>
      <w:ind w:left="1701" w:hanging="1701"/>
    </w:pPr>
  </w:style>
  <w:style w:type="paragraph" w:styleId="TOC4">
    <w:name w:val="toc 4"/>
    <w:basedOn w:val="TOC3"/>
    <w:semiHidden/>
    <w:rsid w:val="00362C2A"/>
    <w:pPr>
      <w:ind w:left="1418" w:hanging="1418"/>
    </w:pPr>
  </w:style>
  <w:style w:type="paragraph" w:styleId="TOC3">
    <w:name w:val="toc 3"/>
    <w:basedOn w:val="TOC2"/>
    <w:semiHidden/>
    <w:rsid w:val="00362C2A"/>
    <w:pPr>
      <w:ind w:left="1134" w:hanging="1134"/>
    </w:pPr>
  </w:style>
  <w:style w:type="paragraph" w:styleId="TOC2">
    <w:name w:val="toc 2"/>
    <w:basedOn w:val="TOC1"/>
    <w:semiHidden/>
    <w:rsid w:val="00362C2A"/>
    <w:pPr>
      <w:keepNext w:val="0"/>
      <w:spacing w:before="0"/>
      <w:ind w:left="851" w:hanging="851"/>
    </w:pPr>
    <w:rPr>
      <w:szCs w:val="20"/>
    </w:rPr>
  </w:style>
  <w:style w:type="paragraph" w:styleId="Index2">
    <w:name w:val="index 2"/>
    <w:basedOn w:val="Index1"/>
    <w:semiHidden/>
    <w:rsid w:val="00362C2A"/>
    <w:pPr>
      <w:ind w:left="284"/>
    </w:pPr>
  </w:style>
  <w:style w:type="paragraph" w:styleId="Index1">
    <w:name w:val="index 1"/>
    <w:basedOn w:val="Normal"/>
    <w:semiHidden/>
    <w:rsid w:val="00362C2A"/>
    <w:pPr>
      <w:keepLines/>
      <w:spacing w:after="0"/>
    </w:pPr>
  </w:style>
  <w:style w:type="paragraph" w:styleId="DocumentMap">
    <w:name w:val="Document Map"/>
    <w:basedOn w:val="Normal"/>
    <w:semiHidden/>
    <w:rsid w:val="00362C2A"/>
    <w:pPr>
      <w:shd w:val="clear" w:color="auto" w:fill="000080"/>
    </w:pPr>
    <w:rPr>
      <w:rFonts w:ascii="Tahoma" w:hAnsi="Tahoma" w:cs="Tahoma"/>
    </w:rPr>
  </w:style>
  <w:style w:type="paragraph" w:styleId="ListNumber2">
    <w:name w:val="List Number 2"/>
    <w:basedOn w:val="ListNumber"/>
    <w:rsid w:val="00362C2A"/>
    <w:pPr>
      <w:ind w:left="851"/>
    </w:pPr>
  </w:style>
  <w:style w:type="paragraph" w:styleId="ListNumber">
    <w:name w:val="List Number"/>
    <w:basedOn w:val="List"/>
    <w:rsid w:val="00362C2A"/>
  </w:style>
  <w:style w:type="paragraph" w:styleId="List">
    <w:name w:val="List"/>
    <w:basedOn w:val="Normal"/>
    <w:rsid w:val="00362C2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62C2A"/>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362C2A"/>
    <w:rPr>
      <w:b/>
      <w:bCs/>
      <w:position w:val="6"/>
      <w:sz w:val="16"/>
      <w:szCs w:val="16"/>
    </w:rPr>
  </w:style>
  <w:style w:type="paragraph" w:styleId="FootnoteText">
    <w:name w:val="footnote text"/>
    <w:basedOn w:val="Normal"/>
    <w:semiHidden/>
    <w:rsid w:val="00362C2A"/>
    <w:pPr>
      <w:keepLines/>
      <w:spacing w:after="0"/>
      <w:ind w:left="454" w:hanging="454"/>
    </w:pPr>
    <w:rPr>
      <w:sz w:val="16"/>
      <w:szCs w:val="16"/>
    </w:rPr>
  </w:style>
  <w:style w:type="paragraph" w:customStyle="1" w:styleId="3GPPHeader">
    <w:name w:val="3GPP_Header"/>
    <w:basedOn w:val="Normal"/>
    <w:rsid w:val="00362C2A"/>
    <w:pPr>
      <w:tabs>
        <w:tab w:val="left" w:pos="1701"/>
        <w:tab w:val="right" w:pos="9639"/>
      </w:tabs>
      <w:spacing w:after="240"/>
    </w:pPr>
    <w:rPr>
      <w:b/>
      <w:sz w:val="24"/>
    </w:rPr>
  </w:style>
  <w:style w:type="paragraph" w:styleId="TOC9">
    <w:name w:val="toc 9"/>
    <w:basedOn w:val="TOC8"/>
    <w:semiHidden/>
    <w:rsid w:val="00362C2A"/>
    <w:pPr>
      <w:ind w:left="1418" w:hanging="1418"/>
    </w:pPr>
  </w:style>
  <w:style w:type="paragraph" w:styleId="TOC6">
    <w:name w:val="toc 6"/>
    <w:basedOn w:val="TOC5"/>
    <w:next w:val="Normal"/>
    <w:semiHidden/>
    <w:rsid w:val="00362C2A"/>
    <w:pPr>
      <w:ind w:left="1985" w:hanging="1985"/>
    </w:pPr>
  </w:style>
  <w:style w:type="paragraph" w:styleId="TOC7">
    <w:name w:val="toc 7"/>
    <w:basedOn w:val="TOC6"/>
    <w:next w:val="Normal"/>
    <w:semiHidden/>
    <w:rsid w:val="00362C2A"/>
    <w:pPr>
      <w:ind w:left="2268" w:hanging="2268"/>
    </w:pPr>
  </w:style>
  <w:style w:type="paragraph" w:styleId="ListBullet2">
    <w:name w:val="List Bullet 2"/>
    <w:basedOn w:val="ListBullet"/>
    <w:rsid w:val="00362C2A"/>
    <w:pPr>
      <w:numPr>
        <w:numId w:val="6"/>
      </w:numPr>
    </w:pPr>
  </w:style>
  <w:style w:type="paragraph" w:styleId="ListBullet">
    <w:name w:val="List Bullet"/>
    <w:basedOn w:val="BodyText"/>
    <w:rsid w:val="00362C2A"/>
    <w:pPr>
      <w:numPr>
        <w:numId w:val="5"/>
      </w:numPr>
    </w:pPr>
  </w:style>
  <w:style w:type="paragraph" w:styleId="ListBullet3">
    <w:name w:val="List Bullet 3"/>
    <w:basedOn w:val="ListBullet2"/>
    <w:rsid w:val="00362C2A"/>
    <w:pPr>
      <w:numPr>
        <w:numId w:val="7"/>
      </w:numPr>
    </w:pPr>
  </w:style>
  <w:style w:type="paragraph" w:customStyle="1" w:styleId="EQ">
    <w:name w:val="EQ"/>
    <w:basedOn w:val="Normal"/>
    <w:next w:val="Normal"/>
    <w:rsid w:val="00362C2A"/>
    <w:pPr>
      <w:keepLines/>
      <w:tabs>
        <w:tab w:val="center" w:pos="4536"/>
        <w:tab w:val="right" w:pos="9072"/>
      </w:tabs>
      <w:spacing w:after="180"/>
      <w:jc w:val="left"/>
    </w:pPr>
    <w:rPr>
      <w:noProof/>
      <w:lang w:eastAsia="en-US"/>
    </w:rPr>
  </w:style>
  <w:style w:type="paragraph" w:styleId="List2">
    <w:name w:val="List 2"/>
    <w:basedOn w:val="List"/>
    <w:rsid w:val="00362C2A"/>
    <w:pPr>
      <w:ind w:left="851"/>
    </w:pPr>
  </w:style>
  <w:style w:type="paragraph" w:styleId="List3">
    <w:name w:val="List 3"/>
    <w:basedOn w:val="List2"/>
    <w:rsid w:val="00362C2A"/>
    <w:pPr>
      <w:ind w:left="1135"/>
    </w:pPr>
  </w:style>
  <w:style w:type="paragraph" w:styleId="List4">
    <w:name w:val="List 4"/>
    <w:basedOn w:val="List3"/>
    <w:rsid w:val="00362C2A"/>
    <w:pPr>
      <w:ind w:left="1418"/>
    </w:pPr>
  </w:style>
  <w:style w:type="paragraph" w:styleId="List5">
    <w:name w:val="List 5"/>
    <w:basedOn w:val="List4"/>
    <w:rsid w:val="00362C2A"/>
    <w:pPr>
      <w:ind w:left="1702"/>
    </w:pPr>
  </w:style>
  <w:style w:type="paragraph" w:customStyle="1" w:styleId="EditorsNote">
    <w:name w:val="Editor's Note"/>
    <w:aliases w:val="EN"/>
    <w:basedOn w:val="Normal"/>
    <w:link w:val="EditorsNoteChar"/>
    <w:rsid w:val="00362C2A"/>
    <w:pPr>
      <w:keepLines/>
      <w:spacing w:after="180"/>
      <w:ind w:left="1135" w:hanging="851"/>
      <w:jc w:val="left"/>
    </w:pPr>
    <w:rPr>
      <w:color w:val="FF0000"/>
      <w:lang w:eastAsia="en-US"/>
    </w:rPr>
  </w:style>
  <w:style w:type="paragraph" w:styleId="ListBullet4">
    <w:name w:val="List Bullet 4"/>
    <w:basedOn w:val="ListBullet3"/>
    <w:rsid w:val="00362C2A"/>
    <w:pPr>
      <w:numPr>
        <w:numId w:val="8"/>
      </w:numPr>
    </w:pPr>
  </w:style>
  <w:style w:type="paragraph" w:styleId="ListBullet5">
    <w:name w:val="List Bullet 5"/>
    <w:basedOn w:val="ListBullet4"/>
    <w:rsid w:val="00362C2A"/>
    <w:pPr>
      <w:numPr>
        <w:numId w:val="4"/>
      </w:numPr>
    </w:pPr>
  </w:style>
  <w:style w:type="paragraph" w:styleId="Footer">
    <w:name w:val="footer"/>
    <w:basedOn w:val="Header"/>
    <w:rsid w:val="00362C2A"/>
    <w:pPr>
      <w:jc w:val="center"/>
    </w:pPr>
    <w:rPr>
      <w:i/>
      <w:iCs/>
    </w:rPr>
  </w:style>
  <w:style w:type="paragraph" w:customStyle="1" w:styleId="Reference">
    <w:name w:val="Reference"/>
    <w:basedOn w:val="Normal"/>
    <w:rsid w:val="00362C2A"/>
    <w:pPr>
      <w:numPr>
        <w:numId w:val="2"/>
      </w:numPr>
    </w:pPr>
  </w:style>
  <w:style w:type="paragraph" w:styleId="BalloonText">
    <w:name w:val="Balloon Text"/>
    <w:basedOn w:val="Normal"/>
    <w:semiHidden/>
    <w:rsid w:val="00362C2A"/>
    <w:rPr>
      <w:rFonts w:ascii="Tahoma" w:hAnsi="Tahoma" w:cs="Tahoma"/>
      <w:sz w:val="16"/>
      <w:szCs w:val="16"/>
    </w:rPr>
  </w:style>
  <w:style w:type="character" w:styleId="PageNumber">
    <w:name w:val="page number"/>
    <w:rsid w:val="00362C2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62C2A"/>
  </w:style>
  <w:style w:type="character" w:styleId="Hyperlink">
    <w:name w:val="Hyperlink"/>
    <w:uiPriority w:val="99"/>
    <w:rsid w:val="00362C2A"/>
    <w:rPr>
      <w:color w:val="0000FF"/>
      <w:u w:val="single"/>
      <w:lang w:val="en-GB"/>
    </w:rPr>
  </w:style>
  <w:style w:type="character" w:styleId="FollowedHyperlink">
    <w:name w:val="FollowedHyperlink"/>
    <w:semiHidden/>
    <w:rsid w:val="00362C2A"/>
    <w:rPr>
      <w:color w:val="FF0000"/>
      <w:u w:val="single"/>
    </w:rPr>
  </w:style>
  <w:style w:type="character" w:styleId="CommentReference">
    <w:name w:val="annotation reference"/>
    <w:qFormat/>
    <w:rsid w:val="00362C2A"/>
    <w:rPr>
      <w:sz w:val="16"/>
      <w:szCs w:val="16"/>
    </w:rPr>
  </w:style>
  <w:style w:type="paragraph" w:styleId="CommentText">
    <w:name w:val="annotation text"/>
    <w:basedOn w:val="Normal"/>
    <w:link w:val="CommentTextChar"/>
    <w:rsid w:val="00362C2A"/>
  </w:style>
  <w:style w:type="paragraph" w:styleId="CommentSubject">
    <w:name w:val="annotation subject"/>
    <w:basedOn w:val="CommentText"/>
    <w:next w:val="CommentText"/>
    <w:semiHidden/>
    <w:rsid w:val="00362C2A"/>
    <w:rPr>
      <w:b/>
      <w:bCs/>
    </w:rPr>
  </w:style>
  <w:style w:type="character" w:customStyle="1" w:styleId="Heading1Char">
    <w:name w:val="Heading 1 Char"/>
    <w:aliases w:val="H1 Char,Memo Heading 1 Char,h1 + 11 pt Char,Before:  6 pt Char,After:  0 pt Char"/>
    <w:link w:val="Heading1"/>
    <w:rsid w:val="00362C2A"/>
    <w:rPr>
      <w:rFonts w:ascii="Arial" w:eastAsia="Times New Roman" w:hAnsi="Arial" w:cs="Arial"/>
      <w:sz w:val="36"/>
      <w:szCs w:val="36"/>
      <w:lang w:val="en-GB"/>
    </w:rPr>
  </w:style>
  <w:style w:type="paragraph" w:customStyle="1" w:styleId="B1">
    <w:name w:val="B1"/>
    <w:basedOn w:val="List"/>
    <w:link w:val="B1Char"/>
    <w:rsid w:val="00362C2A"/>
    <w:pPr>
      <w:spacing w:after="180"/>
      <w:jc w:val="left"/>
    </w:pPr>
    <w:rPr>
      <w:lang w:eastAsia="en-US"/>
    </w:rPr>
  </w:style>
  <w:style w:type="paragraph" w:customStyle="1" w:styleId="B2">
    <w:name w:val="B2"/>
    <w:basedOn w:val="List2"/>
    <w:link w:val="B2Char"/>
    <w:rsid w:val="00362C2A"/>
    <w:pPr>
      <w:spacing w:after="180"/>
      <w:jc w:val="left"/>
    </w:pPr>
    <w:rPr>
      <w:lang w:eastAsia="en-US"/>
    </w:rPr>
  </w:style>
  <w:style w:type="paragraph" w:customStyle="1" w:styleId="B3">
    <w:name w:val="B3"/>
    <w:basedOn w:val="List3"/>
    <w:link w:val="B3Char"/>
    <w:rsid w:val="00362C2A"/>
    <w:pPr>
      <w:spacing w:after="180"/>
      <w:jc w:val="left"/>
    </w:pPr>
    <w:rPr>
      <w:lang w:eastAsia="en-US"/>
    </w:rPr>
  </w:style>
  <w:style w:type="paragraph" w:customStyle="1" w:styleId="B4">
    <w:name w:val="B4"/>
    <w:basedOn w:val="List4"/>
    <w:link w:val="B4Char"/>
    <w:rsid w:val="00362C2A"/>
    <w:pPr>
      <w:spacing w:after="180"/>
      <w:jc w:val="left"/>
    </w:pPr>
    <w:rPr>
      <w:lang w:eastAsia="en-US"/>
    </w:rPr>
  </w:style>
  <w:style w:type="paragraph" w:customStyle="1" w:styleId="Proposal">
    <w:name w:val="Proposal"/>
    <w:basedOn w:val="Normal"/>
    <w:qFormat/>
    <w:rsid w:val="00362C2A"/>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62C2A"/>
    <w:rPr>
      <w:rFonts w:ascii="Arial" w:eastAsia="Times New Roman" w:hAnsi="Arial"/>
      <w:lang w:val="en-GB" w:eastAsia="zh-CN"/>
    </w:rPr>
  </w:style>
  <w:style w:type="paragraph" w:customStyle="1" w:styleId="B5">
    <w:name w:val="B5"/>
    <w:basedOn w:val="List5"/>
    <w:link w:val="B5Char"/>
    <w:rsid w:val="00362C2A"/>
    <w:pPr>
      <w:spacing w:after="180"/>
      <w:jc w:val="left"/>
    </w:pPr>
    <w:rPr>
      <w:lang w:eastAsia="en-US"/>
    </w:rPr>
  </w:style>
  <w:style w:type="paragraph" w:customStyle="1" w:styleId="EX">
    <w:name w:val="EX"/>
    <w:basedOn w:val="Normal"/>
    <w:rsid w:val="00362C2A"/>
    <w:pPr>
      <w:keepLines/>
      <w:spacing w:after="180"/>
      <w:ind w:left="1702" w:hanging="1418"/>
      <w:jc w:val="left"/>
    </w:pPr>
    <w:rPr>
      <w:lang w:eastAsia="en-US"/>
    </w:rPr>
  </w:style>
  <w:style w:type="paragraph" w:customStyle="1" w:styleId="EW">
    <w:name w:val="EW"/>
    <w:basedOn w:val="EX"/>
    <w:rsid w:val="00362C2A"/>
    <w:pPr>
      <w:spacing w:after="0"/>
    </w:pPr>
  </w:style>
  <w:style w:type="paragraph" w:customStyle="1" w:styleId="TAL">
    <w:name w:val="TAL"/>
    <w:basedOn w:val="Normal"/>
    <w:link w:val="TALChar"/>
    <w:rsid w:val="00362C2A"/>
    <w:pPr>
      <w:keepNext/>
      <w:keepLines/>
      <w:spacing w:after="0"/>
      <w:jc w:val="left"/>
    </w:pPr>
    <w:rPr>
      <w:sz w:val="18"/>
      <w:lang w:eastAsia="en-US"/>
    </w:rPr>
  </w:style>
  <w:style w:type="paragraph" w:customStyle="1" w:styleId="TAC">
    <w:name w:val="TAC"/>
    <w:basedOn w:val="TAL"/>
    <w:rsid w:val="00362C2A"/>
    <w:pPr>
      <w:jc w:val="center"/>
    </w:pPr>
  </w:style>
  <w:style w:type="paragraph" w:customStyle="1" w:styleId="TAH">
    <w:name w:val="TAH"/>
    <w:basedOn w:val="TAC"/>
    <w:link w:val="TAHCar"/>
    <w:rsid w:val="00362C2A"/>
    <w:rPr>
      <w:b/>
    </w:rPr>
  </w:style>
  <w:style w:type="paragraph" w:customStyle="1" w:styleId="TAN">
    <w:name w:val="TAN"/>
    <w:basedOn w:val="TAL"/>
    <w:link w:val="TANChar"/>
    <w:rsid w:val="00362C2A"/>
    <w:pPr>
      <w:ind w:left="851" w:hanging="851"/>
    </w:pPr>
  </w:style>
  <w:style w:type="paragraph" w:customStyle="1" w:styleId="TAR">
    <w:name w:val="TAR"/>
    <w:basedOn w:val="TAL"/>
    <w:rsid w:val="00362C2A"/>
    <w:pPr>
      <w:jc w:val="right"/>
    </w:pPr>
  </w:style>
  <w:style w:type="paragraph" w:customStyle="1" w:styleId="TH">
    <w:name w:val="TH"/>
    <w:basedOn w:val="Normal"/>
    <w:link w:val="THChar"/>
    <w:rsid w:val="00362C2A"/>
    <w:pPr>
      <w:keepNext/>
      <w:keepLines/>
      <w:spacing w:before="60" w:after="180"/>
      <w:jc w:val="center"/>
    </w:pPr>
    <w:rPr>
      <w:b/>
      <w:lang w:eastAsia="en-US"/>
    </w:rPr>
  </w:style>
  <w:style w:type="paragraph" w:customStyle="1" w:styleId="TF">
    <w:name w:val="TF"/>
    <w:aliases w:val="left"/>
    <w:basedOn w:val="TH"/>
    <w:link w:val="TFChar"/>
    <w:rsid w:val="00362C2A"/>
    <w:pPr>
      <w:keepNext w:val="0"/>
      <w:spacing w:before="0" w:after="240"/>
    </w:pPr>
  </w:style>
  <w:style w:type="paragraph" w:customStyle="1" w:styleId="TT">
    <w:name w:val="TT"/>
    <w:basedOn w:val="Heading1"/>
    <w:next w:val="Normal"/>
    <w:rsid w:val="00362C2A"/>
    <w:pPr>
      <w:numPr>
        <w:numId w:val="0"/>
      </w:numPr>
      <w:ind w:left="1134" w:hanging="1134"/>
      <w:outlineLvl w:val="9"/>
    </w:pPr>
    <w:rPr>
      <w:rFonts w:cs="Times New Roman"/>
      <w:szCs w:val="20"/>
      <w:lang w:eastAsia="en-US"/>
    </w:rPr>
  </w:style>
  <w:style w:type="paragraph" w:customStyle="1" w:styleId="ZA">
    <w:name w:val="ZA"/>
    <w:rsid w:val="00362C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62C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62C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62C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62C2A"/>
  </w:style>
  <w:style w:type="paragraph" w:customStyle="1" w:styleId="ZH">
    <w:name w:val="ZH"/>
    <w:rsid w:val="00362C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62C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62C2A"/>
    <w:pPr>
      <w:framePr w:hRule="auto" w:wrap="notBeside" w:y="852"/>
    </w:pPr>
    <w:rPr>
      <w:i w:val="0"/>
      <w:sz w:val="40"/>
    </w:rPr>
  </w:style>
  <w:style w:type="paragraph" w:customStyle="1" w:styleId="ZU">
    <w:name w:val="ZU"/>
    <w:rsid w:val="00362C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62C2A"/>
    <w:pPr>
      <w:framePr w:wrap="notBeside" w:y="16161"/>
    </w:pPr>
  </w:style>
  <w:style w:type="paragraph" w:customStyle="1" w:styleId="FP">
    <w:name w:val="FP"/>
    <w:basedOn w:val="Normal"/>
    <w:rsid w:val="00362C2A"/>
    <w:pPr>
      <w:spacing w:after="0"/>
      <w:jc w:val="left"/>
    </w:pPr>
    <w:rPr>
      <w:lang w:eastAsia="en-US"/>
    </w:rPr>
  </w:style>
  <w:style w:type="paragraph" w:customStyle="1" w:styleId="Observation">
    <w:name w:val="Observation"/>
    <w:basedOn w:val="Proposal"/>
    <w:qFormat/>
    <w:rsid w:val="00362C2A"/>
    <w:pPr>
      <w:numPr>
        <w:numId w:val="9"/>
      </w:numPr>
    </w:pPr>
  </w:style>
  <w:style w:type="paragraph" w:styleId="TableofFigures">
    <w:name w:val="table of figures"/>
    <w:basedOn w:val="Normal"/>
    <w:next w:val="Normal"/>
    <w:uiPriority w:val="99"/>
    <w:rsid w:val="00362C2A"/>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qFormat/>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qFormat/>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val="en-US" w:eastAsia="en-US"/>
    </w:rPr>
  </w:style>
  <w:style w:type="table" w:customStyle="1" w:styleId="TableGrid1">
    <w:name w:val="Table Grid1"/>
    <w:basedOn w:val="TableNormal"/>
    <w:next w:val="TableGrid"/>
    <w:uiPriority w:val="39"/>
    <w:rsid w:val="00DC40C9"/>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1937981368">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 w:id="213243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2.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3.xml><?xml version="1.0" encoding="utf-8"?>
<ds:datastoreItem xmlns:ds="http://schemas.openxmlformats.org/officeDocument/2006/customXml" ds:itemID="{6FB32180-29C1-4C54-B4F0-2A904C22C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6F4A78-E74F-488B-9B06-36FF20B2F05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5.xml><?xml version="1.0" encoding="utf-8"?>
<ds:datastoreItem xmlns:ds="http://schemas.openxmlformats.org/officeDocument/2006/customXml" ds:itemID="{230B6717-EEBC-4A34-9390-66AF397D9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515</TotalTime>
  <Pages>4</Pages>
  <Words>1380</Words>
  <Characters>7871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Ericsson</cp:lastModifiedBy>
  <cp:revision>156</cp:revision>
  <cp:lastPrinted>2008-01-31T16:09:00Z</cp:lastPrinted>
  <dcterms:created xsi:type="dcterms:W3CDTF">2019-08-13T16:14:00Z</dcterms:created>
  <dcterms:modified xsi:type="dcterms:W3CDTF">2019-11-07T12:26:00Z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